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华文中宋" w:hAnsi="华文中宋" w:eastAsia="华文中宋" w:cs="宋体"/>
          <w:b/>
          <w:kern w:val="0"/>
          <w:sz w:val="52"/>
          <w:szCs w:val="52"/>
        </w:rPr>
      </w:pPr>
    </w:p>
    <w:p>
      <w:pPr>
        <w:spacing w:line="560" w:lineRule="exact"/>
        <w:jc w:val="center"/>
        <w:rPr>
          <w:rFonts w:ascii="华文中宋" w:hAnsi="华文中宋" w:eastAsia="华文中宋" w:cs="宋体"/>
          <w:b/>
          <w:kern w:val="0"/>
          <w:sz w:val="52"/>
          <w:szCs w:val="52"/>
        </w:rPr>
      </w:pPr>
    </w:p>
    <w:p>
      <w:pPr>
        <w:spacing w:line="560" w:lineRule="exact"/>
        <w:rPr>
          <w:rFonts w:ascii="华文中宋" w:hAnsi="华文中宋" w:eastAsia="华文中宋" w:cs="宋体"/>
          <w:b/>
          <w:kern w:val="0"/>
          <w:sz w:val="52"/>
          <w:szCs w:val="52"/>
        </w:rPr>
      </w:pPr>
    </w:p>
    <w:p>
      <w:pPr>
        <w:spacing w:line="560" w:lineRule="exact"/>
        <w:jc w:val="center"/>
        <w:outlineLvl w:val="0"/>
        <w:rPr>
          <w:rFonts w:ascii="方正小标宋_GBK" w:hAnsi="华文中宋" w:eastAsia="方正小标宋_GBK" w:cs="宋体"/>
          <w:bCs/>
          <w:kern w:val="0"/>
          <w:sz w:val="48"/>
          <w:szCs w:val="48"/>
        </w:rPr>
      </w:pPr>
    </w:p>
    <w:p>
      <w:pPr>
        <w:spacing w:line="560" w:lineRule="exact"/>
        <w:jc w:val="center"/>
        <w:outlineLvl w:val="0"/>
        <w:rPr>
          <w:rFonts w:ascii="方正小标宋_GBK" w:hAnsi="华文中宋" w:eastAsia="方正小标宋_GBK" w:cs="宋体"/>
          <w:bCs/>
          <w:kern w:val="0"/>
          <w:sz w:val="48"/>
          <w:szCs w:val="48"/>
        </w:rPr>
      </w:pPr>
      <w:r>
        <w:rPr>
          <w:rFonts w:hint="eastAsia" w:ascii="方正小标宋_GBK" w:hAnsi="华文中宋" w:eastAsia="方正小标宋_GBK" w:cs="宋体"/>
          <w:bCs/>
          <w:kern w:val="0"/>
          <w:sz w:val="48"/>
          <w:szCs w:val="48"/>
        </w:rPr>
        <w:t>塔城地区水利水电科学研究所</w:t>
      </w:r>
    </w:p>
    <w:p>
      <w:pPr>
        <w:spacing w:line="560" w:lineRule="exact"/>
        <w:jc w:val="center"/>
        <w:outlineLvl w:val="0"/>
        <w:rPr>
          <w:rFonts w:ascii="方正小标宋_GBK" w:hAnsi="华文中宋" w:eastAsia="方正小标宋_GBK" w:cs="宋体"/>
          <w:bCs/>
          <w:kern w:val="0"/>
          <w:sz w:val="48"/>
          <w:szCs w:val="48"/>
        </w:rPr>
      </w:pPr>
      <w:r>
        <w:rPr>
          <w:rFonts w:hint="eastAsia" w:ascii="方正小标宋_GBK" w:hAnsi="华文中宋" w:eastAsia="方正小标宋_GBK" w:cs="宋体"/>
          <w:bCs/>
          <w:kern w:val="0"/>
          <w:sz w:val="48"/>
          <w:szCs w:val="48"/>
        </w:rPr>
        <w:t>资金项目支出绩效评价报告</w:t>
      </w:r>
    </w:p>
    <w:p>
      <w:pPr>
        <w:pStyle w:val="23"/>
        <w:spacing w:after="0" w:line="560" w:lineRule="exact"/>
        <w:rPr>
          <w:color w:val="auto"/>
        </w:rPr>
      </w:pPr>
    </w:p>
    <w:p>
      <w:pPr>
        <w:spacing w:line="560" w:lineRule="exact"/>
        <w:jc w:val="center"/>
        <w:rPr>
          <w:rFonts w:hAnsi="宋体" w:eastAsia="仿宋_GB2312" w:cs="宋体"/>
          <w:kern w:val="0"/>
          <w:sz w:val="36"/>
          <w:szCs w:val="36"/>
        </w:rPr>
      </w:pPr>
      <w:r>
        <w:rPr>
          <w:rFonts w:hint="eastAsia" w:hAnsi="宋体" w:eastAsia="仿宋_GB2312" w:cs="宋体"/>
          <w:kern w:val="0"/>
          <w:sz w:val="36"/>
          <w:szCs w:val="36"/>
        </w:rPr>
        <w:t>（ 2020年度）</w:t>
      </w:r>
    </w:p>
    <w:p>
      <w:pPr>
        <w:spacing w:line="560" w:lineRule="exact"/>
        <w:jc w:val="center"/>
        <w:rPr>
          <w:rFonts w:hAnsi="宋体" w:eastAsia="仿宋_GB2312" w:cs="宋体"/>
          <w:kern w:val="0"/>
          <w:sz w:val="30"/>
          <w:szCs w:val="30"/>
        </w:rPr>
      </w:pPr>
    </w:p>
    <w:p>
      <w:pPr>
        <w:spacing w:line="560" w:lineRule="exact"/>
        <w:jc w:val="center"/>
        <w:rPr>
          <w:rFonts w:hAnsi="宋体" w:eastAsia="仿宋_GB2312" w:cs="宋体"/>
          <w:kern w:val="0"/>
          <w:sz w:val="30"/>
          <w:szCs w:val="30"/>
        </w:rPr>
      </w:pPr>
    </w:p>
    <w:p>
      <w:pPr>
        <w:spacing w:line="560" w:lineRule="exact"/>
        <w:jc w:val="center"/>
        <w:rPr>
          <w:rFonts w:hAnsi="宋体" w:eastAsia="仿宋_GB2312" w:cs="宋体"/>
          <w:kern w:val="0"/>
          <w:sz w:val="30"/>
          <w:szCs w:val="30"/>
        </w:rPr>
      </w:pPr>
    </w:p>
    <w:p>
      <w:pPr>
        <w:spacing w:line="560" w:lineRule="exact"/>
        <w:jc w:val="center"/>
        <w:rPr>
          <w:rFonts w:hAnsi="宋体" w:eastAsia="仿宋_GB2312" w:cs="宋体"/>
          <w:kern w:val="0"/>
          <w:sz w:val="30"/>
          <w:szCs w:val="30"/>
        </w:rPr>
      </w:pPr>
    </w:p>
    <w:p>
      <w:pPr>
        <w:spacing w:line="560" w:lineRule="exact"/>
        <w:rPr>
          <w:rFonts w:hAnsi="宋体" w:eastAsia="仿宋_GB2312" w:cs="宋体"/>
          <w:kern w:val="0"/>
          <w:sz w:val="30"/>
          <w:szCs w:val="30"/>
        </w:rPr>
      </w:pPr>
    </w:p>
    <w:p>
      <w:pPr>
        <w:spacing w:line="560" w:lineRule="exact"/>
        <w:ind w:firstLine="720" w:firstLineChars="200"/>
        <w:jc w:val="left"/>
        <w:rPr>
          <w:rFonts w:ascii="仿宋_GB2312"/>
          <w:kern w:val="0"/>
          <w:sz w:val="32"/>
          <w:szCs w:val="32"/>
          <w:lang w:bidi="en-US"/>
        </w:rPr>
      </w:pPr>
      <w:r>
        <w:rPr>
          <w:rFonts w:hint="eastAsia" w:hAnsi="宋体" w:eastAsia="仿宋_GB2312" w:cs="宋体"/>
          <w:kern w:val="0"/>
          <w:sz w:val="36"/>
          <w:szCs w:val="36"/>
        </w:rPr>
        <w:t>项目名称：</w:t>
      </w:r>
      <w:r>
        <w:rPr>
          <w:rFonts w:hint="eastAsia" w:ascii="仿宋_GB2312"/>
          <w:kern w:val="0"/>
          <w:sz w:val="32"/>
          <w:szCs w:val="32"/>
          <w:lang w:bidi="en-US"/>
        </w:rPr>
        <w:t>工程质量检测工作经费</w:t>
      </w:r>
    </w:p>
    <w:p>
      <w:pPr>
        <w:spacing w:line="56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实施单位（公章）：塔城地区水利水电科学研究所</w:t>
      </w:r>
    </w:p>
    <w:p>
      <w:pPr>
        <w:spacing w:line="56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主管部门（公章）：塔城地区水利局</w:t>
      </w:r>
    </w:p>
    <w:p>
      <w:pPr>
        <w:spacing w:line="56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项目负责人（签章）：周立辉</w:t>
      </w:r>
    </w:p>
    <w:p>
      <w:pPr>
        <w:spacing w:line="56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填报时间：2021年4月9日</w:t>
      </w:r>
    </w:p>
    <w:p>
      <w:pPr>
        <w:spacing w:line="560" w:lineRule="exact"/>
        <w:jc w:val="center"/>
        <w:rPr>
          <w:rFonts w:hAnsi="宋体" w:eastAsia="仿宋_GB2312" w:cs="宋体"/>
          <w:kern w:val="0"/>
          <w:sz w:val="30"/>
          <w:szCs w:val="30"/>
        </w:rPr>
      </w:pPr>
    </w:p>
    <w:p>
      <w:pPr>
        <w:spacing w:line="560" w:lineRule="exact"/>
        <w:rPr>
          <w:rStyle w:val="26"/>
          <w:rFonts w:ascii="黑体" w:hAnsi="黑体" w:eastAsia="黑体"/>
          <w:b w:val="0"/>
          <w:spacing w:val="-4"/>
          <w:sz w:val="32"/>
          <w:szCs w:val="32"/>
        </w:rPr>
      </w:pPr>
    </w:p>
    <w:p>
      <w:pPr>
        <w:spacing w:line="560" w:lineRule="exact"/>
        <w:ind w:firstLine="640"/>
        <w:rPr>
          <w:rStyle w:val="26"/>
          <w:rFonts w:ascii="黑体" w:hAnsi="黑体" w:eastAsia="黑体"/>
          <w:b w:val="0"/>
          <w:spacing w:val="-4"/>
          <w:sz w:val="32"/>
          <w:szCs w:val="32"/>
        </w:rPr>
      </w:pPr>
    </w:p>
    <w:p>
      <w:pPr>
        <w:spacing w:line="560" w:lineRule="exact"/>
        <w:rPr>
          <w:rStyle w:val="26"/>
          <w:rFonts w:ascii="黑体" w:hAnsi="黑体" w:eastAsia="黑体"/>
          <w:b w:val="0"/>
          <w:spacing w:val="-4"/>
          <w:sz w:val="32"/>
          <w:szCs w:val="32"/>
        </w:rPr>
      </w:pPr>
    </w:p>
    <w:p>
      <w:pPr>
        <w:pStyle w:val="23"/>
        <w:spacing w:after="0" w:line="560" w:lineRule="exact"/>
        <w:ind w:firstLine="624"/>
        <w:rPr>
          <w:rStyle w:val="26"/>
          <w:rFonts w:ascii="黑体" w:hAnsi="黑体" w:eastAsia="黑体"/>
          <w:b w:val="0"/>
          <w:color w:val="auto"/>
          <w:spacing w:val="-4"/>
          <w:sz w:val="32"/>
          <w:szCs w:val="32"/>
        </w:rPr>
      </w:pPr>
    </w:p>
    <w:p>
      <w:pPr>
        <w:pStyle w:val="23"/>
        <w:spacing w:after="0" w:line="560" w:lineRule="exact"/>
        <w:ind w:firstLine="624"/>
        <w:rPr>
          <w:rStyle w:val="26"/>
          <w:rFonts w:ascii="黑体" w:hAnsi="黑体" w:eastAsia="黑体"/>
          <w:b w:val="0"/>
          <w:color w:val="auto"/>
          <w:spacing w:val="-4"/>
          <w:sz w:val="32"/>
          <w:szCs w:val="32"/>
        </w:rPr>
      </w:pPr>
    </w:p>
    <w:p>
      <w:pPr>
        <w:spacing w:line="560" w:lineRule="exact"/>
        <w:jc w:val="center"/>
        <w:rPr>
          <w:rFonts w:ascii="宋体" w:hAnsi="宋体"/>
        </w:rPr>
      </w:pPr>
    </w:p>
    <w:sdt>
      <w:sdtPr>
        <w:rPr>
          <w:rFonts w:hint="eastAsia" w:ascii="黑体" w:hAnsi="黑体" w:eastAsia="黑体" w:cs="黑体"/>
          <w:b/>
          <w:bCs/>
          <w:sz w:val="32"/>
          <w:szCs w:val="40"/>
        </w:rPr>
        <w:id w:val="147471772"/>
        <w:docPartObj>
          <w:docPartGallery w:val="Table of Contents"/>
          <w:docPartUnique/>
        </w:docPartObj>
      </w:sdtPr>
      <w:sdtEndPr>
        <w:rPr>
          <w:rFonts w:hint="eastAsia" w:ascii="黑体" w:hAnsi="黑体" w:eastAsia="黑体" w:cs="黑体"/>
          <w:b/>
          <w:bCs/>
          <w:sz w:val="21"/>
          <w:szCs w:val="32"/>
        </w:rPr>
      </w:sdtEndPr>
      <w:sdtContent>
        <w:p>
          <w:pPr>
            <w:spacing w:line="560" w:lineRule="exact"/>
            <w:jc w:val="center"/>
            <w:rPr>
              <w:rFonts w:ascii="黑体" w:hAnsi="黑体" w:eastAsia="黑体" w:cs="黑体"/>
              <w:sz w:val="32"/>
              <w:szCs w:val="40"/>
            </w:rPr>
          </w:pPr>
          <w:r>
            <w:rPr>
              <w:rFonts w:hint="eastAsia" w:ascii="黑体" w:hAnsi="黑体" w:eastAsia="黑体" w:cs="黑体"/>
              <w:sz w:val="32"/>
              <w:szCs w:val="40"/>
            </w:rPr>
            <w:t>目录</w:t>
          </w:r>
        </w:p>
        <w:p>
          <w:pPr>
            <w:pStyle w:val="62"/>
            <w:tabs>
              <w:tab w:val="right" w:leader="dot" w:pos="9072"/>
            </w:tabs>
            <w:spacing w:line="560" w:lineRule="exact"/>
            <w:rPr>
              <w:sz w:val="28"/>
              <w:szCs w:val="28"/>
            </w:rPr>
          </w:pPr>
          <w:r>
            <w:rPr>
              <w:rFonts w:ascii="黑体" w:hAnsi="黑体" w:eastAsia="黑体" w:cs="黑体"/>
              <w:bCs/>
              <w:sz w:val="48"/>
              <w:szCs w:val="48"/>
            </w:rPr>
            <w:fldChar w:fldCharType="begin"/>
          </w:r>
          <w:r>
            <w:rPr>
              <w:rFonts w:ascii="黑体" w:hAnsi="黑体" w:eastAsia="黑体" w:cs="黑体"/>
              <w:bCs/>
              <w:sz w:val="48"/>
              <w:szCs w:val="48"/>
            </w:rPr>
            <w:instrText xml:space="preserve">TOC \o "1-3" \h \u </w:instrText>
          </w:r>
          <w:r>
            <w:rPr>
              <w:rFonts w:ascii="黑体" w:hAnsi="黑体" w:eastAsia="黑体" w:cs="黑体"/>
              <w:bCs/>
              <w:sz w:val="48"/>
              <w:szCs w:val="48"/>
            </w:rPr>
            <w:fldChar w:fldCharType="separate"/>
          </w:r>
          <w:r>
            <w:fldChar w:fldCharType="begin"/>
          </w:r>
          <w:r>
            <w:instrText xml:space="preserve"> HYPERLINK \l "_Toc5664" </w:instrText>
          </w:r>
          <w:r>
            <w:fldChar w:fldCharType="separate"/>
          </w:r>
          <w:r>
            <w:rPr>
              <w:rFonts w:hint="eastAsia" w:ascii="方正小标宋_GBK" w:hAnsi="华文中宋" w:eastAsia="方正小标宋_GBK" w:cs="宋体"/>
              <w:bCs/>
              <w:sz w:val="28"/>
              <w:szCs w:val="72"/>
            </w:rPr>
            <w:t>一、基本概况</w:t>
          </w:r>
          <w:r>
            <w:rPr>
              <w:sz w:val="28"/>
              <w:szCs w:val="28"/>
            </w:rPr>
            <w:tab/>
          </w:r>
          <w:r>
            <w:rPr>
              <w:sz w:val="28"/>
              <w:szCs w:val="28"/>
            </w:rPr>
            <w:fldChar w:fldCharType="begin"/>
          </w:r>
          <w:r>
            <w:rPr>
              <w:sz w:val="28"/>
              <w:szCs w:val="28"/>
            </w:rPr>
            <w:instrText xml:space="preserve"> PAGEREF _Toc5664 </w:instrText>
          </w:r>
          <w:r>
            <w:rPr>
              <w:sz w:val="28"/>
              <w:szCs w:val="28"/>
            </w:rPr>
            <w:fldChar w:fldCharType="separate"/>
          </w:r>
          <w:r>
            <w:rPr>
              <w:sz w:val="28"/>
              <w:szCs w:val="28"/>
            </w:rPr>
            <w:t>1</w:t>
          </w:r>
          <w:r>
            <w:rPr>
              <w:sz w:val="28"/>
              <w:szCs w:val="28"/>
            </w:rPr>
            <w:fldChar w:fldCharType="end"/>
          </w:r>
          <w:r>
            <w:rPr>
              <w:sz w:val="28"/>
              <w:szCs w:val="28"/>
            </w:rPr>
            <w:fldChar w:fldCharType="end"/>
          </w:r>
        </w:p>
        <w:p>
          <w:pPr>
            <w:pStyle w:val="63"/>
            <w:tabs>
              <w:tab w:val="right" w:leader="dot" w:pos="9072"/>
            </w:tabs>
            <w:spacing w:line="560" w:lineRule="exact"/>
            <w:ind w:left="420"/>
            <w:rPr>
              <w:sz w:val="28"/>
              <w:szCs w:val="28"/>
            </w:rPr>
          </w:pPr>
          <w:r>
            <w:fldChar w:fldCharType="begin"/>
          </w:r>
          <w:r>
            <w:instrText xml:space="preserve"> HYPERLINK \l "_Toc28501" </w:instrText>
          </w:r>
          <w:r>
            <w:fldChar w:fldCharType="separate"/>
          </w:r>
          <w:r>
            <w:rPr>
              <w:rFonts w:hint="eastAsia"/>
              <w:sz w:val="28"/>
              <w:szCs w:val="28"/>
            </w:rPr>
            <w:t>（一）项目概况</w:t>
          </w:r>
          <w:r>
            <w:rPr>
              <w:sz w:val="28"/>
              <w:szCs w:val="28"/>
            </w:rPr>
            <w:tab/>
          </w:r>
          <w:r>
            <w:rPr>
              <w:sz w:val="28"/>
              <w:szCs w:val="28"/>
            </w:rPr>
            <w:fldChar w:fldCharType="begin"/>
          </w:r>
          <w:r>
            <w:rPr>
              <w:sz w:val="28"/>
              <w:szCs w:val="28"/>
            </w:rPr>
            <w:instrText xml:space="preserve"> PAGEREF _Toc28501 </w:instrText>
          </w:r>
          <w:r>
            <w:rPr>
              <w:sz w:val="28"/>
              <w:szCs w:val="28"/>
            </w:rPr>
            <w:fldChar w:fldCharType="separate"/>
          </w:r>
          <w:r>
            <w:rPr>
              <w:sz w:val="28"/>
              <w:szCs w:val="28"/>
            </w:rPr>
            <w:t>1</w:t>
          </w:r>
          <w:r>
            <w:rPr>
              <w:sz w:val="28"/>
              <w:szCs w:val="28"/>
            </w:rPr>
            <w:fldChar w:fldCharType="end"/>
          </w:r>
          <w:r>
            <w:rPr>
              <w:sz w:val="28"/>
              <w:szCs w:val="28"/>
            </w:rPr>
            <w:fldChar w:fldCharType="end"/>
          </w:r>
        </w:p>
        <w:p>
          <w:pPr>
            <w:pStyle w:val="64"/>
            <w:tabs>
              <w:tab w:val="right" w:leader="dot" w:pos="9072"/>
            </w:tabs>
            <w:spacing w:line="560" w:lineRule="exact"/>
            <w:ind w:left="840"/>
            <w:rPr>
              <w:sz w:val="28"/>
              <w:szCs w:val="28"/>
            </w:rPr>
          </w:pPr>
          <w:r>
            <w:fldChar w:fldCharType="begin"/>
          </w:r>
          <w:r>
            <w:instrText xml:space="preserve"> HYPERLINK \l "_Toc4286" </w:instrText>
          </w:r>
          <w:r>
            <w:fldChar w:fldCharType="separate"/>
          </w:r>
          <w:r>
            <w:rPr>
              <w:rFonts w:hint="eastAsia"/>
              <w:sz w:val="28"/>
              <w:szCs w:val="28"/>
            </w:rPr>
            <w:t>1、项目背景</w:t>
          </w:r>
          <w:r>
            <w:rPr>
              <w:sz w:val="28"/>
              <w:szCs w:val="28"/>
            </w:rPr>
            <w:tab/>
          </w:r>
          <w:r>
            <w:rPr>
              <w:sz w:val="28"/>
              <w:szCs w:val="28"/>
            </w:rPr>
            <w:fldChar w:fldCharType="begin"/>
          </w:r>
          <w:r>
            <w:rPr>
              <w:sz w:val="28"/>
              <w:szCs w:val="28"/>
            </w:rPr>
            <w:instrText xml:space="preserve"> PAGEREF _Toc4286 </w:instrText>
          </w:r>
          <w:r>
            <w:rPr>
              <w:sz w:val="28"/>
              <w:szCs w:val="28"/>
            </w:rPr>
            <w:fldChar w:fldCharType="separate"/>
          </w:r>
          <w:r>
            <w:rPr>
              <w:sz w:val="28"/>
              <w:szCs w:val="28"/>
            </w:rPr>
            <w:t>1</w:t>
          </w:r>
          <w:r>
            <w:rPr>
              <w:sz w:val="28"/>
              <w:szCs w:val="28"/>
            </w:rPr>
            <w:fldChar w:fldCharType="end"/>
          </w:r>
          <w:r>
            <w:rPr>
              <w:sz w:val="28"/>
              <w:szCs w:val="28"/>
            </w:rPr>
            <w:fldChar w:fldCharType="end"/>
          </w:r>
        </w:p>
        <w:p>
          <w:pPr>
            <w:pStyle w:val="64"/>
            <w:tabs>
              <w:tab w:val="right" w:leader="dot" w:pos="9072"/>
            </w:tabs>
            <w:spacing w:line="560" w:lineRule="exact"/>
            <w:ind w:left="840"/>
            <w:rPr>
              <w:sz w:val="28"/>
              <w:szCs w:val="28"/>
            </w:rPr>
          </w:pPr>
          <w:r>
            <w:fldChar w:fldCharType="begin"/>
          </w:r>
          <w:r>
            <w:instrText xml:space="preserve"> HYPERLINK \l "_Toc31832" </w:instrText>
          </w:r>
          <w:r>
            <w:fldChar w:fldCharType="separate"/>
          </w:r>
          <w:r>
            <w:rPr>
              <w:rFonts w:hint="eastAsia"/>
              <w:sz w:val="28"/>
              <w:szCs w:val="28"/>
            </w:rPr>
            <w:t>2、项目主要内容及实施情况</w:t>
          </w:r>
          <w:r>
            <w:rPr>
              <w:sz w:val="28"/>
              <w:szCs w:val="28"/>
            </w:rPr>
            <w:tab/>
          </w:r>
          <w:r>
            <w:rPr>
              <w:sz w:val="28"/>
              <w:szCs w:val="28"/>
            </w:rPr>
            <w:fldChar w:fldCharType="begin"/>
          </w:r>
          <w:r>
            <w:rPr>
              <w:sz w:val="28"/>
              <w:szCs w:val="28"/>
            </w:rPr>
            <w:instrText xml:space="preserve"> PAGEREF _Toc31832 </w:instrText>
          </w:r>
          <w:r>
            <w:rPr>
              <w:sz w:val="28"/>
              <w:szCs w:val="28"/>
            </w:rPr>
            <w:fldChar w:fldCharType="separate"/>
          </w:r>
          <w:r>
            <w:rPr>
              <w:sz w:val="28"/>
              <w:szCs w:val="28"/>
            </w:rPr>
            <w:t>1</w:t>
          </w:r>
          <w:r>
            <w:rPr>
              <w:sz w:val="28"/>
              <w:szCs w:val="28"/>
            </w:rPr>
            <w:fldChar w:fldCharType="end"/>
          </w:r>
          <w:r>
            <w:rPr>
              <w:sz w:val="28"/>
              <w:szCs w:val="28"/>
            </w:rPr>
            <w:fldChar w:fldCharType="end"/>
          </w:r>
        </w:p>
        <w:p>
          <w:pPr>
            <w:pStyle w:val="64"/>
            <w:tabs>
              <w:tab w:val="right" w:leader="dot" w:pos="9072"/>
            </w:tabs>
            <w:spacing w:line="560" w:lineRule="exact"/>
            <w:ind w:left="840"/>
            <w:rPr>
              <w:sz w:val="28"/>
              <w:szCs w:val="28"/>
            </w:rPr>
          </w:pPr>
          <w:r>
            <w:fldChar w:fldCharType="begin"/>
          </w:r>
          <w:r>
            <w:instrText xml:space="preserve"> HYPERLINK \l "_Toc1338" </w:instrText>
          </w:r>
          <w:r>
            <w:fldChar w:fldCharType="separate"/>
          </w:r>
          <w:r>
            <w:rPr>
              <w:rFonts w:hint="eastAsia"/>
              <w:sz w:val="28"/>
              <w:szCs w:val="28"/>
            </w:rPr>
            <w:t>3、资金投入和使用情况</w:t>
          </w:r>
          <w:r>
            <w:rPr>
              <w:sz w:val="28"/>
              <w:szCs w:val="28"/>
            </w:rPr>
            <w:tab/>
          </w:r>
          <w:r>
            <w:rPr>
              <w:sz w:val="28"/>
              <w:szCs w:val="28"/>
            </w:rPr>
            <w:fldChar w:fldCharType="begin"/>
          </w:r>
          <w:r>
            <w:rPr>
              <w:sz w:val="28"/>
              <w:szCs w:val="28"/>
            </w:rPr>
            <w:instrText xml:space="preserve"> PAGEREF _Toc1338 </w:instrText>
          </w:r>
          <w:r>
            <w:rPr>
              <w:sz w:val="28"/>
              <w:szCs w:val="28"/>
            </w:rPr>
            <w:fldChar w:fldCharType="separate"/>
          </w:r>
          <w:r>
            <w:rPr>
              <w:sz w:val="28"/>
              <w:szCs w:val="28"/>
            </w:rPr>
            <w:t>2</w:t>
          </w:r>
          <w:r>
            <w:rPr>
              <w:sz w:val="28"/>
              <w:szCs w:val="28"/>
            </w:rPr>
            <w:fldChar w:fldCharType="end"/>
          </w:r>
          <w:r>
            <w:rPr>
              <w:sz w:val="28"/>
              <w:szCs w:val="28"/>
            </w:rPr>
            <w:fldChar w:fldCharType="end"/>
          </w:r>
        </w:p>
        <w:p>
          <w:pPr>
            <w:pStyle w:val="63"/>
            <w:tabs>
              <w:tab w:val="right" w:leader="dot" w:pos="9072"/>
            </w:tabs>
            <w:spacing w:line="560" w:lineRule="exact"/>
            <w:ind w:left="420"/>
            <w:rPr>
              <w:sz w:val="28"/>
              <w:szCs w:val="28"/>
            </w:rPr>
          </w:pPr>
          <w:r>
            <w:fldChar w:fldCharType="begin"/>
          </w:r>
          <w:r>
            <w:instrText xml:space="preserve"> HYPERLINK \l "_Toc5616" </w:instrText>
          </w:r>
          <w:r>
            <w:fldChar w:fldCharType="separate"/>
          </w:r>
          <w:r>
            <w:rPr>
              <w:rFonts w:hint="eastAsia"/>
              <w:sz w:val="28"/>
              <w:szCs w:val="28"/>
            </w:rPr>
            <w:t>（二）项目绩效目标</w:t>
          </w:r>
          <w:r>
            <w:rPr>
              <w:sz w:val="28"/>
              <w:szCs w:val="28"/>
            </w:rPr>
            <w:tab/>
          </w:r>
          <w:r>
            <w:rPr>
              <w:sz w:val="28"/>
              <w:szCs w:val="28"/>
            </w:rPr>
            <w:fldChar w:fldCharType="begin"/>
          </w:r>
          <w:r>
            <w:rPr>
              <w:sz w:val="28"/>
              <w:szCs w:val="28"/>
            </w:rPr>
            <w:instrText xml:space="preserve"> PAGEREF _Toc5616 </w:instrText>
          </w:r>
          <w:r>
            <w:rPr>
              <w:sz w:val="28"/>
              <w:szCs w:val="28"/>
            </w:rPr>
            <w:fldChar w:fldCharType="separate"/>
          </w:r>
          <w:r>
            <w:rPr>
              <w:sz w:val="28"/>
              <w:szCs w:val="28"/>
            </w:rPr>
            <w:t>2</w:t>
          </w:r>
          <w:r>
            <w:rPr>
              <w:sz w:val="28"/>
              <w:szCs w:val="28"/>
            </w:rPr>
            <w:fldChar w:fldCharType="end"/>
          </w:r>
          <w:r>
            <w:rPr>
              <w:sz w:val="28"/>
              <w:szCs w:val="28"/>
            </w:rPr>
            <w:fldChar w:fldCharType="end"/>
          </w:r>
        </w:p>
        <w:p>
          <w:pPr>
            <w:pStyle w:val="64"/>
            <w:tabs>
              <w:tab w:val="right" w:leader="dot" w:pos="9072"/>
            </w:tabs>
            <w:spacing w:line="560" w:lineRule="exact"/>
            <w:ind w:left="840"/>
            <w:rPr>
              <w:sz w:val="28"/>
              <w:szCs w:val="28"/>
            </w:rPr>
          </w:pPr>
          <w:r>
            <w:fldChar w:fldCharType="begin"/>
          </w:r>
          <w:r>
            <w:instrText xml:space="preserve"> HYPERLINK \l "_Toc30310" </w:instrText>
          </w:r>
          <w:r>
            <w:fldChar w:fldCharType="separate"/>
          </w:r>
          <w:r>
            <w:rPr>
              <w:rFonts w:hint="eastAsia"/>
              <w:sz w:val="28"/>
              <w:szCs w:val="28"/>
            </w:rPr>
            <w:t>1、总体目标</w:t>
          </w:r>
          <w:r>
            <w:rPr>
              <w:sz w:val="28"/>
              <w:szCs w:val="28"/>
            </w:rPr>
            <w:tab/>
          </w:r>
          <w:r>
            <w:rPr>
              <w:sz w:val="28"/>
              <w:szCs w:val="28"/>
            </w:rPr>
            <w:fldChar w:fldCharType="begin"/>
          </w:r>
          <w:r>
            <w:rPr>
              <w:sz w:val="28"/>
              <w:szCs w:val="28"/>
            </w:rPr>
            <w:instrText xml:space="preserve"> PAGEREF _Toc30310 </w:instrText>
          </w:r>
          <w:r>
            <w:rPr>
              <w:sz w:val="28"/>
              <w:szCs w:val="28"/>
            </w:rPr>
            <w:fldChar w:fldCharType="separate"/>
          </w:r>
          <w:r>
            <w:rPr>
              <w:sz w:val="28"/>
              <w:szCs w:val="28"/>
            </w:rPr>
            <w:t>2</w:t>
          </w:r>
          <w:r>
            <w:rPr>
              <w:sz w:val="28"/>
              <w:szCs w:val="28"/>
            </w:rPr>
            <w:fldChar w:fldCharType="end"/>
          </w:r>
          <w:r>
            <w:rPr>
              <w:sz w:val="28"/>
              <w:szCs w:val="28"/>
            </w:rPr>
            <w:fldChar w:fldCharType="end"/>
          </w:r>
        </w:p>
        <w:p>
          <w:pPr>
            <w:pStyle w:val="64"/>
            <w:tabs>
              <w:tab w:val="right" w:leader="dot" w:pos="9072"/>
            </w:tabs>
            <w:spacing w:line="560" w:lineRule="exact"/>
            <w:ind w:left="840"/>
            <w:rPr>
              <w:sz w:val="28"/>
              <w:szCs w:val="28"/>
            </w:rPr>
          </w:pPr>
          <w:r>
            <w:fldChar w:fldCharType="begin"/>
          </w:r>
          <w:r>
            <w:instrText xml:space="preserve"> HYPERLINK \l "_Toc7981" </w:instrText>
          </w:r>
          <w:r>
            <w:fldChar w:fldCharType="separate"/>
          </w:r>
          <w:r>
            <w:rPr>
              <w:rFonts w:hint="eastAsia"/>
              <w:sz w:val="28"/>
              <w:szCs w:val="28"/>
            </w:rPr>
            <w:t>2、阶段性目标</w:t>
          </w:r>
          <w:r>
            <w:rPr>
              <w:sz w:val="28"/>
              <w:szCs w:val="28"/>
            </w:rPr>
            <w:tab/>
          </w:r>
          <w:r>
            <w:rPr>
              <w:sz w:val="28"/>
              <w:szCs w:val="28"/>
            </w:rPr>
            <w:fldChar w:fldCharType="begin"/>
          </w:r>
          <w:r>
            <w:rPr>
              <w:sz w:val="28"/>
              <w:szCs w:val="28"/>
            </w:rPr>
            <w:instrText xml:space="preserve"> PAGEREF _Toc7981 </w:instrText>
          </w:r>
          <w:r>
            <w:rPr>
              <w:sz w:val="28"/>
              <w:szCs w:val="28"/>
            </w:rPr>
            <w:fldChar w:fldCharType="separate"/>
          </w:r>
          <w:r>
            <w:rPr>
              <w:sz w:val="28"/>
              <w:szCs w:val="28"/>
            </w:rPr>
            <w:t>3</w:t>
          </w:r>
          <w:r>
            <w:rPr>
              <w:sz w:val="28"/>
              <w:szCs w:val="28"/>
            </w:rPr>
            <w:fldChar w:fldCharType="end"/>
          </w:r>
          <w:r>
            <w:rPr>
              <w:sz w:val="28"/>
              <w:szCs w:val="28"/>
            </w:rPr>
            <w:fldChar w:fldCharType="end"/>
          </w:r>
        </w:p>
        <w:p>
          <w:pPr>
            <w:pStyle w:val="62"/>
            <w:tabs>
              <w:tab w:val="right" w:leader="dot" w:pos="9072"/>
            </w:tabs>
            <w:spacing w:line="560" w:lineRule="exact"/>
            <w:rPr>
              <w:sz w:val="28"/>
              <w:szCs w:val="28"/>
            </w:rPr>
          </w:pPr>
          <w:r>
            <w:fldChar w:fldCharType="begin"/>
          </w:r>
          <w:r>
            <w:instrText xml:space="preserve"> HYPERLINK \l "_Toc142" </w:instrText>
          </w:r>
          <w:r>
            <w:fldChar w:fldCharType="separate"/>
          </w:r>
          <w:r>
            <w:rPr>
              <w:rFonts w:hint="eastAsia" w:ascii="方正小标宋_GBK" w:hAnsi="华文中宋" w:eastAsia="方正小标宋_GBK" w:cs="宋体"/>
              <w:bCs/>
              <w:sz w:val="28"/>
              <w:szCs w:val="72"/>
            </w:rPr>
            <w:t>二、绩效评价工作开展情况</w:t>
          </w:r>
          <w:r>
            <w:rPr>
              <w:sz w:val="28"/>
              <w:szCs w:val="28"/>
            </w:rPr>
            <w:tab/>
          </w:r>
          <w:r>
            <w:rPr>
              <w:sz w:val="28"/>
              <w:szCs w:val="28"/>
            </w:rPr>
            <w:fldChar w:fldCharType="begin"/>
          </w:r>
          <w:r>
            <w:rPr>
              <w:sz w:val="28"/>
              <w:szCs w:val="28"/>
            </w:rPr>
            <w:instrText xml:space="preserve"> PAGEREF _Toc142 </w:instrText>
          </w:r>
          <w:r>
            <w:rPr>
              <w:sz w:val="28"/>
              <w:szCs w:val="28"/>
            </w:rPr>
            <w:fldChar w:fldCharType="separate"/>
          </w:r>
          <w:r>
            <w:rPr>
              <w:sz w:val="28"/>
              <w:szCs w:val="28"/>
            </w:rPr>
            <w:t>4</w:t>
          </w:r>
          <w:r>
            <w:rPr>
              <w:sz w:val="28"/>
              <w:szCs w:val="28"/>
            </w:rPr>
            <w:fldChar w:fldCharType="end"/>
          </w:r>
          <w:r>
            <w:rPr>
              <w:sz w:val="28"/>
              <w:szCs w:val="28"/>
            </w:rPr>
            <w:fldChar w:fldCharType="end"/>
          </w:r>
        </w:p>
        <w:p>
          <w:pPr>
            <w:pStyle w:val="63"/>
            <w:tabs>
              <w:tab w:val="right" w:leader="dot" w:pos="9072"/>
            </w:tabs>
            <w:spacing w:line="560" w:lineRule="exact"/>
            <w:ind w:left="420"/>
            <w:rPr>
              <w:sz w:val="28"/>
              <w:szCs w:val="28"/>
            </w:rPr>
          </w:pPr>
          <w:r>
            <w:fldChar w:fldCharType="begin"/>
          </w:r>
          <w:r>
            <w:instrText xml:space="preserve"> HYPERLINK \l "_Toc23226" </w:instrText>
          </w:r>
          <w:r>
            <w:fldChar w:fldCharType="separate"/>
          </w:r>
          <w:r>
            <w:rPr>
              <w:rFonts w:hint="eastAsia"/>
              <w:sz w:val="28"/>
              <w:szCs w:val="28"/>
            </w:rPr>
            <w:t>（一）绩效评价目的、对象和范围</w:t>
          </w:r>
          <w:r>
            <w:rPr>
              <w:sz w:val="28"/>
              <w:szCs w:val="28"/>
            </w:rPr>
            <w:tab/>
          </w:r>
          <w:r>
            <w:rPr>
              <w:sz w:val="28"/>
              <w:szCs w:val="28"/>
            </w:rPr>
            <w:fldChar w:fldCharType="begin"/>
          </w:r>
          <w:r>
            <w:rPr>
              <w:sz w:val="28"/>
              <w:szCs w:val="28"/>
            </w:rPr>
            <w:instrText xml:space="preserve"> PAGEREF _Toc23226 </w:instrText>
          </w:r>
          <w:r>
            <w:rPr>
              <w:sz w:val="28"/>
              <w:szCs w:val="28"/>
            </w:rPr>
            <w:fldChar w:fldCharType="separate"/>
          </w:r>
          <w:r>
            <w:rPr>
              <w:sz w:val="28"/>
              <w:szCs w:val="28"/>
            </w:rPr>
            <w:t>4</w:t>
          </w:r>
          <w:r>
            <w:rPr>
              <w:sz w:val="28"/>
              <w:szCs w:val="28"/>
            </w:rPr>
            <w:fldChar w:fldCharType="end"/>
          </w:r>
          <w:r>
            <w:rPr>
              <w:sz w:val="28"/>
              <w:szCs w:val="28"/>
            </w:rPr>
            <w:fldChar w:fldCharType="end"/>
          </w:r>
        </w:p>
        <w:p>
          <w:pPr>
            <w:pStyle w:val="64"/>
            <w:tabs>
              <w:tab w:val="right" w:leader="dot" w:pos="9072"/>
            </w:tabs>
            <w:spacing w:line="560" w:lineRule="exact"/>
            <w:ind w:left="840"/>
            <w:rPr>
              <w:sz w:val="28"/>
              <w:szCs w:val="28"/>
            </w:rPr>
          </w:pPr>
          <w:r>
            <w:fldChar w:fldCharType="begin"/>
          </w:r>
          <w:r>
            <w:instrText xml:space="preserve"> HYPERLINK \l "_Toc23801" </w:instrText>
          </w:r>
          <w:r>
            <w:fldChar w:fldCharType="separate"/>
          </w:r>
          <w:r>
            <w:rPr>
              <w:rFonts w:hint="eastAsia"/>
              <w:sz w:val="28"/>
              <w:szCs w:val="28"/>
            </w:rPr>
            <w:t>1、绩效评价的目的</w:t>
          </w:r>
          <w:r>
            <w:rPr>
              <w:sz w:val="28"/>
              <w:szCs w:val="28"/>
            </w:rPr>
            <w:tab/>
          </w:r>
          <w:r>
            <w:rPr>
              <w:sz w:val="28"/>
              <w:szCs w:val="28"/>
            </w:rPr>
            <w:fldChar w:fldCharType="begin"/>
          </w:r>
          <w:r>
            <w:rPr>
              <w:sz w:val="28"/>
              <w:szCs w:val="28"/>
            </w:rPr>
            <w:instrText xml:space="preserve"> PAGEREF _Toc23801 </w:instrText>
          </w:r>
          <w:r>
            <w:rPr>
              <w:sz w:val="28"/>
              <w:szCs w:val="28"/>
            </w:rPr>
            <w:fldChar w:fldCharType="separate"/>
          </w:r>
          <w:r>
            <w:rPr>
              <w:sz w:val="28"/>
              <w:szCs w:val="28"/>
            </w:rPr>
            <w:t>4</w:t>
          </w:r>
          <w:r>
            <w:rPr>
              <w:sz w:val="28"/>
              <w:szCs w:val="28"/>
            </w:rPr>
            <w:fldChar w:fldCharType="end"/>
          </w:r>
          <w:r>
            <w:rPr>
              <w:sz w:val="28"/>
              <w:szCs w:val="28"/>
            </w:rPr>
            <w:fldChar w:fldCharType="end"/>
          </w:r>
        </w:p>
        <w:p>
          <w:pPr>
            <w:pStyle w:val="64"/>
            <w:tabs>
              <w:tab w:val="right" w:leader="dot" w:pos="9072"/>
            </w:tabs>
            <w:spacing w:line="560" w:lineRule="exact"/>
            <w:ind w:left="840"/>
            <w:rPr>
              <w:sz w:val="28"/>
              <w:szCs w:val="28"/>
            </w:rPr>
          </w:pPr>
          <w:r>
            <w:fldChar w:fldCharType="begin"/>
          </w:r>
          <w:r>
            <w:instrText xml:space="preserve"> HYPERLINK \l "_Toc16614" </w:instrText>
          </w:r>
          <w:r>
            <w:fldChar w:fldCharType="separate"/>
          </w:r>
          <w:r>
            <w:rPr>
              <w:rFonts w:hint="eastAsia"/>
              <w:sz w:val="28"/>
              <w:szCs w:val="28"/>
            </w:rPr>
            <w:t>2、绩效评价的对象</w:t>
          </w:r>
          <w:r>
            <w:rPr>
              <w:sz w:val="28"/>
              <w:szCs w:val="28"/>
            </w:rPr>
            <w:tab/>
          </w:r>
          <w:r>
            <w:rPr>
              <w:sz w:val="28"/>
              <w:szCs w:val="28"/>
            </w:rPr>
            <w:fldChar w:fldCharType="begin"/>
          </w:r>
          <w:r>
            <w:rPr>
              <w:sz w:val="28"/>
              <w:szCs w:val="28"/>
            </w:rPr>
            <w:instrText xml:space="preserve"> PAGEREF _Toc16614 </w:instrText>
          </w:r>
          <w:r>
            <w:rPr>
              <w:sz w:val="28"/>
              <w:szCs w:val="28"/>
            </w:rPr>
            <w:fldChar w:fldCharType="separate"/>
          </w:r>
          <w:r>
            <w:rPr>
              <w:sz w:val="28"/>
              <w:szCs w:val="28"/>
            </w:rPr>
            <w:t>5</w:t>
          </w:r>
          <w:r>
            <w:rPr>
              <w:sz w:val="28"/>
              <w:szCs w:val="28"/>
            </w:rPr>
            <w:fldChar w:fldCharType="end"/>
          </w:r>
          <w:r>
            <w:rPr>
              <w:sz w:val="28"/>
              <w:szCs w:val="28"/>
            </w:rPr>
            <w:fldChar w:fldCharType="end"/>
          </w:r>
        </w:p>
        <w:p>
          <w:pPr>
            <w:pStyle w:val="64"/>
            <w:tabs>
              <w:tab w:val="right" w:leader="dot" w:pos="9072"/>
            </w:tabs>
            <w:spacing w:line="560" w:lineRule="exact"/>
            <w:ind w:left="840"/>
            <w:rPr>
              <w:sz w:val="28"/>
              <w:szCs w:val="28"/>
            </w:rPr>
          </w:pPr>
          <w:r>
            <w:fldChar w:fldCharType="begin"/>
          </w:r>
          <w:r>
            <w:instrText xml:space="preserve"> HYPERLINK \l "_Toc15958" </w:instrText>
          </w:r>
          <w:r>
            <w:fldChar w:fldCharType="separate"/>
          </w:r>
          <w:r>
            <w:rPr>
              <w:rFonts w:hint="eastAsia"/>
              <w:sz w:val="28"/>
              <w:szCs w:val="28"/>
            </w:rPr>
            <w:t>3、绩效评价的范围</w:t>
          </w:r>
          <w:r>
            <w:rPr>
              <w:sz w:val="28"/>
              <w:szCs w:val="28"/>
            </w:rPr>
            <w:tab/>
          </w:r>
          <w:r>
            <w:rPr>
              <w:sz w:val="28"/>
              <w:szCs w:val="28"/>
            </w:rPr>
            <w:fldChar w:fldCharType="begin"/>
          </w:r>
          <w:r>
            <w:rPr>
              <w:sz w:val="28"/>
              <w:szCs w:val="28"/>
            </w:rPr>
            <w:instrText xml:space="preserve"> PAGEREF _Toc15958 </w:instrText>
          </w:r>
          <w:r>
            <w:rPr>
              <w:sz w:val="28"/>
              <w:szCs w:val="28"/>
            </w:rPr>
            <w:fldChar w:fldCharType="separate"/>
          </w:r>
          <w:r>
            <w:rPr>
              <w:sz w:val="28"/>
              <w:szCs w:val="28"/>
            </w:rPr>
            <w:t>5</w:t>
          </w:r>
          <w:r>
            <w:rPr>
              <w:sz w:val="28"/>
              <w:szCs w:val="28"/>
            </w:rPr>
            <w:fldChar w:fldCharType="end"/>
          </w:r>
          <w:r>
            <w:rPr>
              <w:sz w:val="28"/>
              <w:szCs w:val="28"/>
            </w:rPr>
            <w:fldChar w:fldCharType="end"/>
          </w:r>
        </w:p>
        <w:p>
          <w:pPr>
            <w:pStyle w:val="63"/>
            <w:tabs>
              <w:tab w:val="right" w:leader="dot" w:pos="9072"/>
            </w:tabs>
            <w:spacing w:line="560" w:lineRule="exact"/>
            <w:ind w:left="420"/>
            <w:rPr>
              <w:sz w:val="28"/>
              <w:szCs w:val="28"/>
            </w:rPr>
          </w:pPr>
          <w:r>
            <w:fldChar w:fldCharType="begin"/>
          </w:r>
          <w:r>
            <w:instrText xml:space="preserve"> HYPERLINK \l "_Toc20178" </w:instrText>
          </w:r>
          <w:r>
            <w:fldChar w:fldCharType="separate"/>
          </w:r>
          <w:r>
            <w:rPr>
              <w:rFonts w:hint="eastAsia"/>
              <w:sz w:val="28"/>
              <w:szCs w:val="28"/>
            </w:rPr>
            <w:t>（二）绩效评价原则、评价指标体系、评价方法、评价标准。</w:t>
          </w:r>
          <w:r>
            <w:rPr>
              <w:sz w:val="28"/>
              <w:szCs w:val="28"/>
            </w:rPr>
            <w:tab/>
          </w:r>
          <w:r>
            <w:rPr>
              <w:sz w:val="28"/>
              <w:szCs w:val="28"/>
            </w:rPr>
            <w:fldChar w:fldCharType="begin"/>
          </w:r>
          <w:r>
            <w:rPr>
              <w:sz w:val="28"/>
              <w:szCs w:val="28"/>
            </w:rPr>
            <w:instrText xml:space="preserve"> PAGEREF _Toc20178 </w:instrText>
          </w:r>
          <w:r>
            <w:rPr>
              <w:sz w:val="28"/>
              <w:szCs w:val="28"/>
            </w:rPr>
            <w:fldChar w:fldCharType="separate"/>
          </w:r>
          <w:r>
            <w:rPr>
              <w:sz w:val="28"/>
              <w:szCs w:val="28"/>
            </w:rPr>
            <w:t>5</w:t>
          </w:r>
          <w:r>
            <w:rPr>
              <w:sz w:val="28"/>
              <w:szCs w:val="28"/>
            </w:rPr>
            <w:fldChar w:fldCharType="end"/>
          </w:r>
          <w:r>
            <w:rPr>
              <w:sz w:val="28"/>
              <w:szCs w:val="28"/>
            </w:rPr>
            <w:fldChar w:fldCharType="end"/>
          </w:r>
        </w:p>
        <w:p>
          <w:pPr>
            <w:pStyle w:val="64"/>
            <w:tabs>
              <w:tab w:val="right" w:leader="dot" w:pos="9072"/>
            </w:tabs>
            <w:spacing w:line="560" w:lineRule="exact"/>
            <w:ind w:left="840"/>
            <w:rPr>
              <w:sz w:val="28"/>
              <w:szCs w:val="28"/>
            </w:rPr>
          </w:pPr>
          <w:r>
            <w:fldChar w:fldCharType="begin"/>
          </w:r>
          <w:r>
            <w:instrText xml:space="preserve"> HYPERLINK \l "_Toc13734" </w:instrText>
          </w:r>
          <w:r>
            <w:fldChar w:fldCharType="separate"/>
          </w:r>
          <w:r>
            <w:rPr>
              <w:rFonts w:hint="eastAsia"/>
              <w:sz w:val="28"/>
              <w:szCs w:val="28"/>
            </w:rPr>
            <w:t>1、绩效评价原则</w:t>
          </w:r>
          <w:r>
            <w:rPr>
              <w:sz w:val="28"/>
              <w:szCs w:val="28"/>
            </w:rPr>
            <w:tab/>
          </w:r>
          <w:r>
            <w:rPr>
              <w:sz w:val="28"/>
              <w:szCs w:val="28"/>
            </w:rPr>
            <w:fldChar w:fldCharType="begin"/>
          </w:r>
          <w:r>
            <w:rPr>
              <w:sz w:val="28"/>
              <w:szCs w:val="28"/>
            </w:rPr>
            <w:instrText xml:space="preserve"> PAGEREF _Toc13734 </w:instrText>
          </w:r>
          <w:r>
            <w:rPr>
              <w:sz w:val="28"/>
              <w:szCs w:val="28"/>
            </w:rPr>
            <w:fldChar w:fldCharType="separate"/>
          </w:r>
          <w:r>
            <w:rPr>
              <w:sz w:val="28"/>
              <w:szCs w:val="28"/>
            </w:rPr>
            <w:t>5</w:t>
          </w:r>
          <w:r>
            <w:rPr>
              <w:sz w:val="28"/>
              <w:szCs w:val="28"/>
            </w:rPr>
            <w:fldChar w:fldCharType="end"/>
          </w:r>
          <w:r>
            <w:rPr>
              <w:sz w:val="28"/>
              <w:szCs w:val="28"/>
            </w:rPr>
            <w:fldChar w:fldCharType="end"/>
          </w:r>
        </w:p>
        <w:p>
          <w:pPr>
            <w:pStyle w:val="64"/>
            <w:tabs>
              <w:tab w:val="right" w:leader="dot" w:pos="9072"/>
            </w:tabs>
            <w:spacing w:line="560" w:lineRule="exact"/>
            <w:ind w:left="840"/>
            <w:rPr>
              <w:sz w:val="28"/>
              <w:szCs w:val="28"/>
            </w:rPr>
          </w:pPr>
          <w:r>
            <w:fldChar w:fldCharType="begin"/>
          </w:r>
          <w:r>
            <w:instrText xml:space="preserve"> HYPERLINK \l "_Toc24640" </w:instrText>
          </w:r>
          <w:r>
            <w:fldChar w:fldCharType="separate"/>
          </w:r>
          <w:r>
            <w:rPr>
              <w:rFonts w:hint="eastAsia"/>
              <w:sz w:val="28"/>
              <w:szCs w:val="28"/>
            </w:rPr>
            <w:t>2、评价指标体系</w:t>
          </w:r>
          <w:r>
            <w:rPr>
              <w:sz w:val="28"/>
              <w:szCs w:val="28"/>
            </w:rPr>
            <w:tab/>
          </w:r>
          <w:r>
            <w:rPr>
              <w:sz w:val="28"/>
              <w:szCs w:val="28"/>
            </w:rPr>
            <w:fldChar w:fldCharType="begin"/>
          </w:r>
          <w:r>
            <w:rPr>
              <w:sz w:val="28"/>
              <w:szCs w:val="28"/>
            </w:rPr>
            <w:instrText xml:space="preserve"> PAGEREF _Toc24640 </w:instrText>
          </w:r>
          <w:r>
            <w:rPr>
              <w:sz w:val="28"/>
              <w:szCs w:val="28"/>
            </w:rPr>
            <w:fldChar w:fldCharType="separate"/>
          </w:r>
          <w:r>
            <w:rPr>
              <w:sz w:val="28"/>
              <w:szCs w:val="28"/>
            </w:rPr>
            <w:t>6</w:t>
          </w:r>
          <w:r>
            <w:rPr>
              <w:sz w:val="28"/>
              <w:szCs w:val="28"/>
            </w:rPr>
            <w:fldChar w:fldCharType="end"/>
          </w:r>
          <w:r>
            <w:rPr>
              <w:sz w:val="28"/>
              <w:szCs w:val="28"/>
            </w:rPr>
            <w:fldChar w:fldCharType="end"/>
          </w:r>
        </w:p>
        <w:p>
          <w:pPr>
            <w:pStyle w:val="64"/>
            <w:tabs>
              <w:tab w:val="right" w:leader="dot" w:pos="9072"/>
            </w:tabs>
            <w:spacing w:line="560" w:lineRule="exact"/>
            <w:ind w:left="840"/>
            <w:rPr>
              <w:sz w:val="28"/>
              <w:szCs w:val="28"/>
            </w:rPr>
          </w:pPr>
          <w:r>
            <w:fldChar w:fldCharType="begin"/>
          </w:r>
          <w:r>
            <w:instrText xml:space="preserve"> HYPERLINK \l "_Toc2916" </w:instrText>
          </w:r>
          <w:r>
            <w:fldChar w:fldCharType="separate"/>
          </w:r>
          <w:r>
            <w:rPr>
              <w:rFonts w:hint="eastAsia"/>
              <w:sz w:val="28"/>
              <w:szCs w:val="28"/>
            </w:rPr>
            <w:t>3、绩效评价方法</w:t>
          </w:r>
          <w:r>
            <w:rPr>
              <w:sz w:val="28"/>
              <w:szCs w:val="28"/>
            </w:rPr>
            <w:tab/>
          </w:r>
          <w:r>
            <w:rPr>
              <w:sz w:val="28"/>
              <w:szCs w:val="28"/>
            </w:rPr>
            <w:fldChar w:fldCharType="begin"/>
          </w:r>
          <w:r>
            <w:rPr>
              <w:sz w:val="28"/>
              <w:szCs w:val="28"/>
            </w:rPr>
            <w:instrText xml:space="preserve"> PAGEREF _Toc2916 </w:instrText>
          </w:r>
          <w:r>
            <w:rPr>
              <w:sz w:val="28"/>
              <w:szCs w:val="28"/>
            </w:rPr>
            <w:fldChar w:fldCharType="separate"/>
          </w:r>
          <w:r>
            <w:rPr>
              <w:sz w:val="28"/>
              <w:szCs w:val="28"/>
            </w:rPr>
            <w:t>8</w:t>
          </w:r>
          <w:r>
            <w:rPr>
              <w:sz w:val="28"/>
              <w:szCs w:val="28"/>
            </w:rPr>
            <w:fldChar w:fldCharType="end"/>
          </w:r>
          <w:r>
            <w:rPr>
              <w:sz w:val="28"/>
              <w:szCs w:val="28"/>
            </w:rPr>
            <w:fldChar w:fldCharType="end"/>
          </w:r>
        </w:p>
        <w:p>
          <w:pPr>
            <w:pStyle w:val="62"/>
            <w:tabs>
              <w:tab w:val="right" w:leader="dot" w:pos="9072"/>
            </w:tabs>
            <w:spacing w:line="560" w:lineRule="exact"/>
            <w:rPr>
              <w:sz w:val="28"/>
              <w:szCs w:val="28"/>
            </w:rPr>
          </w:pPr>
          <w:r>
            <w:fldChar w:fldCharType="begin"/>
          </w:r>
          <w:r>
            <w:instrText xml:space="preserve"> HYPERLINK \l "_Toc28816" </w:instrText>
          </w:r>
          <w:r>
            <w:fldChar w:fldCharType="separate"/>
          </w:r>
          <w:r>
            <w:rPr>
              <w:rFonts w:hint="eastAsia" w:ascii="方正小标宋_GBK" w:hAnsi="华文中宋" w:eastAsia="方正小标宋_GBK" w:cs="宋体"/>
              <w:bCs/>
              <w:sz w:val="28"/>
              <w:szCs w:val="72"/>
            </w:rPr>
            <w:t>三、综合评价情况及评价结论（附相关评分表）</w:t>
          </w:r>
          <w:r>
            <w:rPr>
              <w:sz w:val="28"/>
              <w:szCs w:val="28"/>
            </w:rPr>
            <w:tab/>
          </w:r>
          <w:r>
            <w:rPr>
              <w:sz w:val="28"/>
              <w:szCs w:val="28"/>
            </w:rPr>
            <w:fldChar w:fldCharType="begin"/>
          </w:r>
          <w:r>
            <w:rPr>
              <w:sz w:val="28"/>
              <w:szCs w:val="28"/>
            </w:rPr>
            <w:instrText xml:space="preserve"> PAGEREF _Toc28816 </w:instrText>
          </w:r>
          <w:r>
            <w:rPr>
              <w:sz w:val="28"/>
              <w:szCs w:val="28"/>
            </w:rPr>
            <w:fldChar w:fldCharType="separate"/>
          </w:r>
          <w:r>
            <w:rPr>
              <w:sz w:val="28"/>
              <w:szCs w:val="28"/>
            </w:rPr>
            <w:t>9</w:t>
          </w:r>
          <w:r>
            <w:rPr>
              <w:sz w:val="28"/>
              <w:szCs w:val="28"/>
            </w:rPr>
            <w:fldChar w:fldCharType="end"/>
          </w:r>
          <w:r>
            <w:rPr>
              <w:sz w:val="28"/>
              <w:szCs w:val="28"/>
            </w:rPr>
            <w:fldChar w:fldCharType="end"/>
          </w:r>
        </w:p>
        <w:p>
          <w:pPr>
            <w:pStyle w:val="62"/>
            <w:tabs>
              <w:tab w:val="right" w:leader="dot" w:pos="9072"/>
            </w:tabs>
            <w:spacing w:line="560" w:lineRule="exact"/>
            <w:rPr>
              <w:sz w:val="28"/>
              <w:szCs w:val="28"/>
            </w:rPr>
          </w:pPr>
          <w:r>
            <w:fldChar w:fldCharType="begin"/>
          </w:r>
          <w:r>
            <w:instrText xml:space="preserve"> HYPERLINK \l "_Toc5879" </w:instrText>
          </w:r>
          <w:r>
            <w:fldChar w:fldCharType="separate"/>
          </w:r>
          <w:r>
            <w:rPr>
              <w:rFonts w:hint="eastAsia" w:ascii="方正小标宋_GBK" w:hAnsi="华文中宋" w:eastAsia="方正小标宋_GBK" w:cs="宋体"/>
              <w:bCs/>
              <w:sz w:val="28"/>
              <w:szCs w:val="72"/>
            </w:rPr>
            <w:t>四、绩效评价指标分析</w:t>
          </w:r>
          <w:r>
            <w:rPr>
              <w:sz w:val="28"/>
              <w:szCs w:val="28"/>
            </w:rPr>
            <w:tab/>
          </w:r>
          <w:r>
            <w:rPr>
              <w:sz w:val="28"/>
              <w:szCs w:val="28"/>
            </w:rPr>
            <w:fldChar w:fldCharType="begin"/>
          </w:r>
          <w:r>
            <w:rPr>
              <w:sz w:val="28"/>
              <w:szCs w:val="28"/>
            </w:rPr>
            <w:instrText xml:space="preserve"> PAGEREF _Toc5879 </w:instrText>
          </w:r>
          <w:r>
            <w:rPr>
              <w:sz w:val="28"/>
              <w:szCs w:val="28"/>
            </w:rPr>
            <w:fldChar w:fldCharType="separate"/>
          </w:r>
          <w:r>
            <w:rPr>
              <w:sz w:val="28"/>
              <w:szCs w:val="28"/>
            </w:rPr>
            <w:t>11</w:t>
          </w:r>
          <w:r>
            <w:rPr>
              <w:sz w:val="28"/>
              <w:szCs w:val="28"/>
            </w:rPr>
            <w:fldChar w:fldCharType="end"/>
          </w:r>
          <w:r>
            <w:rPr>
              <w:sz w:val="28"/>
              <w:szCs w:val="28"/>
            </w:rPr>
            <w:fldChar w:fldCharType="end"/>
          </w:r>
        </w:p>
        <w:p>
          <w:pPr>
            <w:pStyle w:val="63"/>
            <w:tabs>
              <w:tab w:val="right" w:leader="dot" w:pos="9072"/>
            </w:tabs>
            <w:spacing w:line="560" w:lineRule="exact"/>
            <w:ind w:left="420"/>
            <w:rPr>
              <w:sz w:val="28"/>
              <w:szCs w:val="28"/>
            </w:rPr>
          </w:pPr>
          <w:r>
            <w:fldChar w:fldCharType="begin"/>
          </w:r>
          <w:r>
            <w:instrText xml:space="preserve"> HYPERLINK \l "_Toc17645" </w:instrText>
          </w:r>
          <w:r>
            <w:fldChar w:fldCharType="separate"/>
          </w:r>
          <w:r>
            <w:rPr>
              <w:rFonts w:hint="eastAsia"/>
              <w:sz w:val="28"/>
              <w:szCs w:val="28"/>
            </w:rPr>
            <w:t>（一）项目决策情况</w:t>
          </w:r>
          <w:r>
            <w:rPr>
              <w:sz w:val="28"/>
              <w:szCs w:val="28"/>
            </w:rPr>
            <w:tab/>
          </w:r>
          <w:r>
            <w:rPr>
              <w:sz w:val="28"/>
              <w:szCs w:val="28"/>
            </w:rPr>
            <w:fldChar w:fldCharType="begin"/>
          </w:r>
          <w:r>
            <w:rPr>
              <w:sz w:val="28"/>
              <w:szCs w:val="28"/>
            </w:rPr>
            <w:instrText xml:space="preserve"> PAGEREF _Toc17645 </w:instrText>
          </w:r>
          <w:r>
            <w:rPr>
              <w:sz w:val="28"/>
              <w:szCs w:val="28"/>
            </w:rPr>
            <w:fldChar w:fldCharType="separate"/>
          </w:r>
          <w:r>
            <w:rPr>
              <w:sz w:val="28"/>
              <w:szCs w:val="28"/>
            </w:rPr>
            <w:t>11</w:t>
          </w:r>
          <w:r>
            <w:rPr>
              <w:sz w:val="28"/>
              <w:szCs w:val="28"/>
            </w:rPr>
            <w:fldChar w:fldCharType="end"/>
          </w:r>
          <w:r>
            <w:rPr>
              <w:sz w:val="28"/>
              <w:szCs w:val="28"/>
            </w:rPr>
            <w:fldChar w:fldCharType="end"/>
          </w:r>
        </w:p>
        <w:p>
          <w:pPr>
            <w:pStyle w:val="63"/>
            <w:tabs>
              <w:tab w:val="right" w:leader="dot" w:pos="9072"/>
            </w:tabs>
            <w:spacing w:line="560" w:lineRule="exact"/>
            <w:ind w:left="420"/>
            <w:rPr>
              <w:sz w:val="28"/>
              <w:szCs w:val="28"/>
            </w:rPr>
          </w:pPr>
          <w:r>
            <w:fldChar w:fldCharType="begin"/>
          </w:r>
          <w:r>
            <w:instrText xml:space="preserve"> HYPERLINK \l "_Toc11959" </w:instrText>
          </w:r>
          <w:r>
            <w:fldChar w:fldCharType="separate"/>
          </w:r>
          <w:r>
            <w:rPr>
              <w:rFonts w:hint="eastAsia"/>
              <w:sz w:val="28"/>
              <w:szCs w:val="28"/>
            </w:rPr>
            <w:t>（二） 项目过程情况</w:t>
          </w:r>
          <w:r>
            <w:rPr>
              <w:sz w:val="28"/>
              <w:szCs w:val="28"/>
            </w:rPr>
            <w:tab/>
          </w:r>
          <w:r>
            <w:rPr>
              <w:sz w:val="28"/>
              <w:szCs w:val="28"/>
            </w:rPr>
            <w:fldChar w:fldCharType="begin"/>
          </w:r>
          <w:r>
            <w:rPr>
              <w:sz w:val="28"/>
              <w:szCs w:val="28"/>
            </w:rPr>
            <w:instrText xml:space="preserve"> PAGEREF _Toc11959 </w:instrText>
          </w:r>
          <w:r>
            <w:rPr>
              <w:sz w:val="28"/>
              <w:szCs w:val="28"/>
            </w:rPr>
            <w:fldChar w:fldCharType="separate"/>
          </w:r>
          <w:r>
            <w:rPr>
              <w:sz w:val="28"/>
              <w:szCs w:val="28"/>
            </w:rPr>
            <w:t>12</w:t>
          </w:r>
          <w:r>
            <w:rPr>
              <w:sz w:val="28"/>
              <w:szCs w:val="28"/>
            </w:rPr>
            <w:fldChar w:fldCharType="end"/>
          </w:r>
          <w:r>
            <w:rPr>
              <w:sz w:val="28"/>
              <w:szCs w:val="28"/>
            </w:rPr>
            <w:fldChar w:fldCharType="end"/>
          </w:r>
        </w:p>
        <w:p>
          <w:pPr>
            <w:pStyle w:val="63"/>
            <w:tabs>
              <w:tab w:val="right" w:leader="dot" w:pos="9072"/>
            </w:tabs>
            <w:spacing w:line="560" w:lineRule="exact"/>
            <w:ind w:left="420"/>
            <w:rPr>
              <w:sz w:val="28"/>
              <w:szCs w:val="28"/>
            </w:rPr>
          </w:pPr>
          <w:r>
            <w:fldChar w:fldCharType="begin"/>
          </w:r>
          <w:r>
            <w:instrText xml:space="preserve"> HYPERLINK \l "_Toc20677" </w:instrText>
          </w:r>
          <w:r>
            <w:fldChar w:fldCharType="separate"/>
          </w:r>
          <w:r>
            <w:rPr>
              <w:rFonts w:hint="eastAsia"/>
              <w:sz w:val="28"/>
              <w:szCs w:val="28"/>
            </w:rPr>
            <w:t>（三） 项目产出</w:t>
          </w:r>
          <w:r>
            <w:rPr>
              <w:sz w:val="28"/>
              <w:szCs w:val="28"/>
            </w:rPr>
            <w:tab/>
          </w:r>
          <w:r>
            <w:rPr>
              <w:sz w:val="28"/>
              <w:szCs w:val="28"/>
            </w:rPr>
            <w:fldChar w:fldCharType="begin"/>
          </w:r>
          <w:r>
            <w:rPr>
              <w:sz w:val="28"/>
              <w:szCs w:val="28"/>
            </w:rPr>
            <w:instrText xml:space="preserve"> PAGEREF _Toc20677 </w:instrText>
          </w:r>
          <w:r>
            <w:rPr>
              <w:sz w:val="28"/>
              <w:szCs w:val="28"/>
            </w:rPr>
            <w:fldChar w:fldCharType="separate"/>
          </w:r>
          <w:r>
            <w:rPr>
              <w:sz w:val="28"/>
              <w:szCs w:val="28"/>
            </w:rPr>
            <w:t>13</w:t>
          </w:r>
          <w:r>
            <w:rPr>
              <w:sz w:val="28"/>
              <w:szCs w:val="28"/>
            </w:rPr>
            <w:fldChar w:fldCharType="end"/>
          </w:r>
          <w:r>
            <w:rPr>
              <w:sz w:val="28"/>
              <w:szCs w:val="28"/>
            </w:rPr>
            <w:fldChar w:fldCharType="end"/>
          </w:r>
        </w:p>
        <w:p>
          <w:pPr>
            <w:pStyle w:val="63"/>
            <w:tabs>
              <w:tab w:val="right" w:leader="dot" w:pos="9072"/>
            </w:tabs>
            <w:spacing w:line="560" w:lineRule="exact"/>
            <w:ind w:left="420"/>
            <w:rPr>
              <w:sz w:val="28"/>
              <w:szCs w:val="28"/>
            </w:rPr>
          </w:pPr>
          <w:r>
            <w:fldChar w:fldCharType="begin"/>
          </w:r>
          <w:r>
            <w:instrText xml:space="preserve"> HYPERLINK \l "_Toc23815" </w:instrText>
          </w:r>
          <w:r>
            <w:fldChar w:fldCharType="separate"/>
          </w:r>
          <w:r>
            <w:rPr>
              <w:rFonts w:hint="eastAsia"/>
              <w:sz w:val="28"/>
              <w:szCs w:val="28"/>
            </w:rPr>
            <w:t>（四） 数量指标方面：</w:t>
          </w:r>
          <w:r>
            <w:rPr>
              <w:sz w:val="28"/>
              <w:szCs w:val="28"/>
            </w:rPr>
            <w:tab/>
          </w:r>
          <w:r>
            <w:rPr>
              <w:sz w:val="28"/>
              <w:szCs w:val="28"/>
            </w:rPr>
            <w:fldChar w:fldCharType="begin"/>
          </w:r>
          <w:r>
            <w:rPr>
              <w:sz w:val="28"/>
              <w:szCs w:val="28"/>
            </w:rPr>
            <w:instrText xml:space="preserve"> PAGEREF _Toc23815 </w:instrText>
          </w:r>
          <w:r>
            <w:rPr>
              <w:sz w:val="28"/>
              <w:szCs w:val="28"/>
            </w:rPr>
            <w:fldChar w:fldCharType="separate"/>
          </w:r>
          <w:r>
            <w:rPr>
              <w:b/>
            </w:rPr>
            <w:t>错误！未定义书签。</w:t>
          </w:r>
          <w:r>
            <w:rPr>
              <w:sz w:val="28"/>
              <w:szCs w:val="28"/>
            </w:rPr>
            <w:fldChar w:fldCharType="end"/>
          </w:r>
          <w:r>
            <w:rPr>
              <w:sz w:val="28"/>
              <w:szCs w:val="28"/>
            </w:rPr>
            <w:fldChar w:fldCharType="end"/>
          </w:r>
        </w:p>
        <w:p>
          <w:pPr>
            <w:pStyle w:val="63"/>
            <w:tabs>
              <w:tab w:val="right" w:leader="dot" w:pos="9072"/>
            </w:tabs>
            <w:spacing w:line="560" w:lineRule="exact"/>
            <w:ind w:left="420"/>
            <w:rPr>
              <w:sz w:val="28"/>
              <w:szCs w:val="28"/>
            </w:rPr>
          </w:pPr>
          <w:r>
            <w:fldChar w:fldCharType="begin"/>
          </w:r>
          <w:r>
            <w:instrText xml:space="preserve"> HYPERLINK \l "_Toc28402" </w:instrText>
          </w:r>
          <w:r>
            <w:fldChar w:fldCharType="separate"/>
          </w:r>
          <w:r>
            <w:rPr>
              <w:rFonts w:hint="eastAsia"/>
              <w:sz w:val="28"/>
              <w:szCs w:val="28"/>
            </w:rPr>
            <w:t>（五） 对于“产出指标”</w:t>
          </w:r>
          <w:r>
            <w:rPr>
              <w:sz w:val="28"/>
              <w:szCs w:val="28"/>
            </w:rPr>
            <w:tab/>
          </w:r>
          <w:r>
            <w:rPr>
              <w:sz w:val="28"/>
              <w:szCs w:val="28"/>
            </w:rPr>
            <w:fldChar w:fldCharType="begin"/>
          </w:r>
          <w:r>
            <w:rPr>
              <w:sz w:val="28"/>
              <w:szCs w:val="28"/>
            </w:rPr>
            <w:instrText xml:space="preserve"> PAGEREF _Toc28402 </w:instrText>
          </w:r>
          <w:r>
            <w:rPr>
              <w:sz w:val="28"/>
              <w:szCs w:val="28"/>
            </w:rPr>
            <w:fldChar w:fldCharType="separate"/>
          </w:r>
          <w:r>
            <w:rPr>
              <w:sz w:val="28"/>
              <w:szCs w:val="28"/>
            </w:rPr>
            <w:t>13</w:t>
          </w:r>
          <w:r>
            <w:rPr>
              <w:sz w:val="28"/>
              <w:szCs w:val="28"/>
            </w:rPr>
            <w:fldChar w:fldCharType="end"/>
          </w:r>
          <w:r>
            <w:rPr>
              <w:sz w:val="28"/>
              <w:szCs w:val="28"/>
            </w:rPr>
            <w:fldChar w:fldCharType="end"/>
          </w:r>
        </w:p>
        <w:p>
          <w:pPr>
            <w:pStyle w:val="63"/>
            <w:tabs>
              <w:tab w:val="right" w:leader="dot" w:pos="9072"/>
            </w:tabs>
            <w:spacing w:line="560" w:lineRule="exact"/>
            <w:ind w:left="420"/>
            <w:rPr>
              <w:sz w:val="28"/>
              <w:szCs w:val="28"/>
            </w:rPr>
          </w:pPr>
          <w:r>
            <w:fldChar w:fldCharType="begin"/>
          </w:r>
          <w:r>
            <w:instrText xml:space="preserve"> HYPERLINK \l "_Toc11088" </w:instrText>
          </w:r>
          <w:r>
            <w:fldChar w:fldCharType="separate"/>
          </w:r>
          <w:r>
            <w:rPr>
              <w:rFonts w:hint="eastAsia"/>
              <w:sz w:val="28"/>
              <w:szCs w:val="28"/>
            </w:rPr>
            <w:t>（六） 对于“产出数量”</w:t>
          </w:r>
          <w:r>
            <w:rPr>
              <w:sz w:val="28"/>
              <w:szCs w:val="28"/>
            </w:rPr>
            <w:tab/>
          </w:r>
          <w:r>
            <w:rPr>
              <w:sz w:val="28"/>
              <w:szCs w:val="28"/>
            </w:rPr>
            <w:fldChar w:fldCharType="begin"/>
          </w:r>
          <w:r>
            <w:rPr>
              <w:sz w:val="28"/>
              <w:szCs w:val="28"/>
            </w:rPr>
            <w:instrText xml:space="preserve"> PAGEREF _Toc11088 </w:instrText>
          </w:r>
          <w:r>
            <w:rPr>
              <w:sz w:val="28"/>
              <w:szCs w:val="28"/>
            </w:rPr>
            <w:fldChar w:fldCharType="separate"/>
          </w:r>
          <w:r>
            <w:rPr>
              <w:sz w:val="28"/>
              <w:szCs w:val="28"/>
            </w:rPr>
            <w:t>13</w:t>
          </w:r>
          <w:r>
            <w:rPr>
              <w:sz w:val="28"/>
              <w:szCs w:val="28"/>
            </w:rPr>
            <w:fldChar w:fldCharType="end"/>
          </w:r>
          <w:r>
            <w:rPr>
              <w:sz w:val="28"/>
              <w:szCs w:val="28"/>
            </w:rPr>
            <w:fldChar w:fldCharType="end"/>
          </w:r>
        </w:p>
        <w:p>
          <w:pPr>
            <w:pStyle w:val="63"/>
            <w:tabs>
              <w:tab w:val="right" w:leader="dot" w:pos="9072"/>
            </w:tabs>
            <w:spacing w:line="560" w:lineRule="exact"/>
            <w:ind w:left="420"/>
            <w:rPr>
              <w:sz w:val="28"/>
              <w:szCs w:val="28"/>
            </w:rPr>
          </w:pPr>
          <w:r>
            <w:fldChar w:fldCharType="begin"/>
          </w:r>
          <w:r>
            <w:instrText xml:space="preserve"> HYPERLINK \l "_Toc7492" </w:instrText>
          </w:r>
          <w:r>
            <w:fldChar w:fldCharType="separate"/>
          </w:r>
          <w:r>
            <w:rPr>
              <w:rFonts w:hint="eastAsia"/>
              <w:sz w:val="28"/>
              <w:szCs w:val="28"/>
            </w:rPr>
            <w:t>（七） 效益情况</w:t>
          </w:r>
          <w:r>
            <w:rPr>
              <w:sz w:val="28"/>
              <w:szCs w:val="28"/>
            </w:rPr>
            <w:tab/>
          </w:r>
          <w:r>
            <w:rPr>
              <w:sz w:val="28"/>
              <w:szCs w:val="28"/>
            </w:rPr>
            <w:fldChar w:fldCharType="begin"/>
          </w:r>
          <w:r>
            <w:rPr>
              <w:sz w:val="28"/>
              <w:szCs w:val="28"/>
            </w:rPr>
            <w:instrText xml:space="preserve"> PAGEREF _Toc7492 </w:instrText>
          </w:r>
          <w:r>
            <w:rPr>
              <w:sz w:val="28"/>
              <w:szCs w:val="28"/>
            </w:rPr>
            <w:fldChar w:fldCharType="separate"/>
          </w:r>
          <w:r>
            <w:rPr>
              <w:sz w:val="28"/>
              <w:szCs w:val="28"/>
            </w:rPr>
            <w:t>14</w:t>
          </w:r>
          <w:r>
            <w:rPr>
              <w:sz w:val="28"/>
              <w:szCs w:val="28"/>
            </w:rPr>
            <w:fldChar w:fldCharType="end"/>
          </w:r>
          <w:r>
            <w:rPr>
              <w:sz w:val="28"/>
              <w:szCs w:val="28"/>
            </w:rPr>
            <w:fldChar w:fldCharType="end"/>
          </w:r>
        </w:p>
        <w:p>
          <w:pPr>
            <w:pStyle w:val="62"/>
            <w:tabs>
              <w:tab w:val="right" w:leader="dot" w:pos="9072"/>
            </w:tabs>
            <w:spacing w:line="560" w:lineRule="exact"/>
            <w:rPr>
              <w:sz w:val="28"/>
              <w:szCs w:val="28"/>
            </w:rPr>
          </w:pPr>
          <w:r>
            <w:fldChar w:fldCharType="begin"/>
          </w:r>
          <w:r>
            <w:instrText xml:space="preserve"> HYPERLINK \l "_Toc6639" </w:instrText>
          </w:r>
          <w:r>
            <w:fldChar w:fldCharType="separate"/>
          </w:r>
          <w:r>
            <w:rPr>
              <w:rFonts w:hint="eastAsia" w:ascii="方正小标宋_GBK" w:hAnsi="华文中宋" w:eastAsia="方正小标宋_GBK" w:cs="宋体"/>
              <w:bCs/>
              <w:sz w:val="28"/>
              <w:szCs w:val="72"/>
            </w:rPr>
            <w:t>五、主要经验及做法、存在的问题及原因分析</w:t>
          </w:r>
          <w:r>
            <w:rPr>
              <w:sz w:val="28"/>
              <w:szCs w:val="28"/>
            </w:rPr>
            <w:tab/>
          </w:r>
          <w:r>
            <w:rPr>
              <w:sz w:val="28"/>
              <w:szCs w:val="28"/>
            </w:rPr>
            <w:fldChar w:fldCharType="begin"/>
          </w:r>
          <w:r>
            <w:rPr>
              <w:sz w:val="28"/>
              <w:szCs w:val="28"/>
            </w:rPr>
            <w:instrText xml:space="preserve"> PAGEREF _Toc6639 </w:instrText>
          </w:r>
          <w:r>
            <w:rPr>
              <w:sz w:val="28"/>
              <w:szCs w:val="28"/>
            </w:rPr>
            <w:fldChar w:fldCharType="separate"/>
          </w:r>
          <w:r>
            <w:rPr>
              <w:sz w:val="28"/>
              <w:szCs w:val="28"/>
            </w:rPr>
            <w:t>16</w:t>
          </w:r>
          <w:r>
            <w:rPr>
              <w:sz w:val="28"/>
              <w:szCs w:val="28"/>
            </w:rPr>
            <w:fldChar w:fldCharType="end"/>
          </w:r>
          <w:r>
            <w:rPr>
              <w:sz w:val="28"/>
              <w:szCs w:val="28"/>
            </w:rPr>
            <w:fldChar w:fldCharType="end"/>
          </w:r>
        </w:p>
        <w:p>
          <w:pPr>
            <w:pStyle w:val="63"/>
            <w:tabs>
              <w:tab w:val="right" w:leader="dot" w:pos="9072"/>
            </w:tabs>
            <w:spacing w:line="560" w:lineRule="exact"/>
            <w:ind w:left="420"/>
            <w:rPr>
              <w:sz w:val="28"/>
              <w:szCs w:val="28"/>
            </w:rPr>
          </w:pPr>
          <w:r>
            <w:fldChar w:fldCharType="begin"/>
          </w:r>
          <w:r>
            <w:instrText xml:space="preserve"> HYPERLINK \l "_Toc5454" </w:instrText>
          </w:r>
          <w:r>
            <w:fldChar w:fldCharType="separate"/>
          </w:r>
          <w:r>
            <w:rPr>
              <w:rFonts w:hint="eastAsia"/>
              <w:sz w:val="28"/>
              <w:szCs w:val="28"/>
            </w:rPr>
            <w:t>（一）主要经验及做法</w:t>
          </w:r>
          <w:r>
            <w:rPr>
              <w:sz w:val="28"/>
              <w:szCs w:val="28"/>
            </w:rPr>
            <w:tab/>
          </w:r>
          <w:r>
            <w:rPr>
              <w:sz w:val="28"/>
              <w:szCs w:val="28"/>
            </w:rPr>
            <w:fldChar w:fldCharType="begin"/>
          </w:r>
          <w:r>
            <w:rPr>
              <w:sz w:val="28"/>
              <w:szCs w:val="28"/>
            </w:rPr>
            <w:instrText xml:space="preserve"> PAGEREF _Toc5454 </w:instrText>
          </w:r>
          <w:r>
            <w:rPr>
              <w:sz w:val="28"/>
              <w:szCs w:val="28"/>
            </w:rPr>
            <w:fldChar w:fldCharType="separate"/>
          </w:r>
          <w:r>
            <w:rPr>
              <w:sz w:val="28"/>
              <w:szCs w:val="28"/>
            </w:rPr>
            <w:t>16</w:t>
          </w:r>
          <w:r>
            <w:rPr>
              <w:sz w:val="28"/>
              <w:szCs w:val="28"/>
            </w:rPr>
            <w:fldChar w:fldCharType="end"/>
          </w:r>
          <w:r>
            <w:rPr>
              <w:sz w:val="28"/>
              <w:szCs w:val="28"/>
            </w:rPr>
            <w:fldChar w:fldCharType="end"/>
          </w:r>
        </w:p>
        <w:p>
          <w:pPr>
            <w:pStyle w:val="63"/>
            <w:tabs>
              <w:tab w:val="right" w:leader="dot" w:pos="9072"/>
            </w:tabs>
            <w:spacing w:line="560" w:lineRule="exact"/>
            <w:ind w:left="420"/>
            <w:rPr>
              <w:sz w:val="28"/>
              <w:szCs w:val="28"/>
            </w:rPr>
          </w:pPr>
          <w:r>
            <w:fldChar w:fldCharType="begin"/>
          </w:r>
          <w:r>
            <w:instrText xml:space="preserve"> HYPERLINK \l "_Toc21570" </w:instrText>
          </w:r>
          <w:r>
            <w:fldChar w:fldCharType="separate"/>
          </w:r>
          <w:r>
            <w:rPr>
              <w:rFonts w:hint="eastAsia"/>
              <w:sz w:val="28"/>
              <w:szCs w:val="28"/>
            </w:rPr>
            <w:t>（二） 存在的问题及原因分析</w:t>
          </w:r>
          <w:r>
            <w:rPr>
              <w:sz w:val="28"/>
              <w:szCs w:val="28"/>
            </w:rPr>
            <w:tab/>
          </w:r>
          <w:r>
            <w:rPr>
              <w:sz w:val="28"/>
              <w:szCs w:val="28"/>
            </w:rPr>
            <w:fldChar w:fldCharType="begin"/>
          </w:r>
          <w:r>
            <w:rPr>
              <w:sz w:val="28"/>
              <w:szCs w:val="28"/>
            </w:rPr>
            <w:instrText xml:space="preserve"> PAGEREF _Toc21570 </w:instrText>
          </w:r>
          <w:r>
            <w:rPr>
              <w:sz w:val="28"/>
              <w:szCs w:val="28"/>
            </w:rPr>
            <w:fldChar w:fldCharType="separate"/>
          </w:r>
          <w:r>
            <w:rPr>
              <w:sz w:val="28"/>
              <w:szCs w:val="28"/>
            </w:rPr>
            <w:t>17</w:t>
          </w:r>
          <w:r>
            <w:rPr>
              <w:sz w:val="28"/>
              <w:szCs w:val="28"/>
            </w:rPr>
            <w:fldChar w:fldCharType="end"/>
          </w:r>
          <w:r>
            <w:rPr>
              <w:sz w:val="28"/>
              <w:szCs w:val="28"/>
            </w:rPr>
            <w:fldChar w:fldCharType="end"/>
          </w:r>
        </w:p>
        <w:p>
          <w:pPr>
            <w:pStyle w:val="64"/>
            <w:tabs>
              <w:tab w:val="right" w:leader="dot" w:pos="9072"/>
            </w:tabs>
            <w:spacing w:line="560" w:lineRule="exact"/>
            <w:ind w:left="840"/>
            <w:rPr>
              <w:sz w:val="28"/>
              <w:szCs w:val="28"/>
            </w:rPr>
          </w:pPr>
          <w:r>
            <w:fldChar w:fldCharType="begin"/>
          </w:r>
          <w:r>
            <w:instrText xml:space="preserve"> HYPERLINK \l "_Toc13473" </w:instrText>
          </w:r>
          <w:r>
            <w:fldChar w:fldCharType="separate"/>
          </w:r>
          <w:r>
            <w:rPr>
              <w:rFonts w:hint="eastAsia"/>
              <w:sz w:val="28"/>
              <w:szCs w:val="28"/>
            </w:rPr>
            <w:t>1.存在的问题</w:t>
          </w:r>
          <w:r>
            <w:rPr>
              <w:sz w:val="28"/>
              <w:szCs w:val="28"/>
            </w:rPr>
            <w:tab/>
          </w:r>
          <w:r>
            <w:rPr>
              <w:sz w:val="28"/>
              <w:szCs w:val="28"/>
            </w:rPr>
            <w:fldChar w:fldCharType="begin"/>
          </w:r>
          <w:r>
            <w:rPr>
              <w:sz w:val="28"/>
              <w:szCs w:val="28"/>
            </w:rPr>
            <w:instrText xml:space="preserve"> PAGEREF _Toc13473 </w:instrText>
          </w:r>
          <w:r>
            <w:rPr>
              <w:sz w:val="28"/>
              <w:szCs w:val="28"/>
            </w:rPr>
            <w:fldChar w:fldCharType="separate"/>
          </w:r>
          <w:r>
            <w:rPr>
              <w:sz w:val="28"/>
              <w:szCs w:val="28"/>
            </w:rPr>
            <w:t>17</w:t>
          </w:r>
          <w:r>
            <w:rPr>
              <w:sz w:val="28"/>
              <w:szCs w:val="28"/>
            </w:rPr>
            <w:fldChar w:fldCharType="end"/>
          </w:r>
          <w:r>
            <w:rPr>
              <w:sz w:val="28"/>
              <w:szCs w:val="28"/>
            </w:rPr>
            <w:fldChar w:fldCharType="end"/>
          </w:r>
        </w:p>
        <w:p>
          <w:pPr>
            <w:pStyle w:val="64"/>
            <w:tabs>
              <w:tab w:val="right" w:leader="dot" w:pos="9072"/>
            </w:tabs>
            <w:spacing w:line="560" w:lineRule="exact"/>
            <w:ind w:left="840"/>
            <w:rPr>
              <w:sz w:val="28"/>
              <w:szCs w:val="28"/>
            </w:rPr>
          </w:pPr>
          <w:r>
            <w:fldChar w:fldCharType="begin"/>
          </w:r>
          <w:r>
            <w:instrText xml:space="preserve"> HYPERLINK \l "_Toc27265" </w:instrText>
          </w:r>
          <w:r>
            <w:fldChar w:fldCharType="separate"/>
          </w:r>
          <w:r>
            <w:rPr>
              <w:rFonts w:hint="eastAsia"/>
              <w:sz w:val="28"/>
              <w:szCs w:val="28"/>
            </w:rPr>
            <w:t>2.原因分析</w:t>
          </w:r>
          <w:r>
            <w:rPr>
              <w:sz w:val="28"/>
              <w:szCs w:val="28"/>
            </w:rPr>
            <w:tab/>
          </w:r>
          <w:r>
            <w:rPr>
              <w:sz w:val="28"/>
              <w:szCs w:val="28"/>
            </w:rPr>
            <w:fldChar w:fldCharType="begin"/>
          </w:r>
          <w:r>
            <w:rPr>
              <w:sz w:val="28"/>
              <w:szCs w:val="28"/>
            </w:rPr>
            <w:instrText xml:space="preserve"> PAGEREF _Toc27265 </w:instrText>
          </w:r>
          <w:r>
            <w:rPr>
              <w:sz w:val="28"/>
              <w:szCs w:val="28"/>
            </w:rPr>
            <w:fldChar w:fldCharType="separate"/>
          </w:r>
          <w:r>
            <w:rPr>
              <w:sz w:val="28"/>
              <w:szCs w:val="28"/>
            </w:rPr>
            <w:t>17</w:t>
          </w:r>
          <w:r>
            <w:rPr>
              <w:sz w:val="28"/>
              <w:szCs w:val="28"/>
            </w:rPr>
            <w:fldChar w:fldCharType="end"/>
          </w:r>
          <w:r>
            <w:rPr>
              <w:sz w:val="28"/>
              <w:szCs w:val="28"/>
            </w:rPr>
            <w:fldChar w:fldCharType="end"/>
          </w:r>
        </w:p>
        <w:p>
          <w:pPr>
            <w:pStyle w:val="62"/>
            <w:tabs>
              <w:tab w:val="right" w:leader="dot" w:pos="9072"/>
            </w:tabs>
            <w:spacing w:line="560" w:lineRule="exact"/>
            <w:rPr>
              <w:sz w:val="28"/>
              <w:szCs w:val="28"/>
            </w:rPr>
          </w:pPr>
          <w:r>
            <w:fldChar w:fldCharType="begin"/>
          </w:r>
          <w:r>
            <w:instrText xml:space="preserve"> HYPERLINK \l "_Toc30684" </w:instrText>
          </w:r>
          <w:r>
            <w:fldChar w:fldCharType="separate"/>
          </w:r>
          <w:r>
            <w:rPr>
              <w:rFonts w:hint="eastAsia" w:ascii="方正小标宋_GBK" w:hAnsi="华文中宋" w:eastAsia="方正小标宋_GBK" w:cs="宋体"/>
              <w:bCs/>
              <w:sz w:val="28"/>
              <w:szCs w:val="72"/>
            </w:rPr>
            <w:t>六、有关建议</w:t>
          </w:r>
          <w:r>
            <w:rPr>
              <w:sz w:val="28"/>
              <w:szCs w:val="28"/>
            </w:rPr>
            <w:tab/>
          </w:r>
          <w:r>
            <w:rPr>
              <w:sz w:val="28"/>
              <w:szCs w:val="28"/>
            </w:rPr>
            <w:fldChar w:fldCharType="begin"/>
          </w:r>
          <w:r>
            <w:rPr>
              <w:sz w:val="28"/>
              <w:szCs w:val="28"/>
            </w:rPr>
            <w:instrText xml:space="preserve"> PAGEREF _Toc30684 </w:instrText>
          </w:r>
          <w:r>
            <w:rPr>
              <w:sz w:val="28"/>
              <w:szCs w:val="28"/>
            </w:rPr>
            <w:fldChar w:fldCharType="separate"/>
          </w:r>
          <w:r>
            <w:rPr>
              <w:sz w:val="28"/>
              <w:szCs w:val="28"/>
            </w:rPr>
            <w:t>17</w:t>
          </w:r>
          <w:r>
            <w:rPr>
              <w:sz w:val="28"/>
              <w:szCs w:val="28"/>
            </w:rPr>
            <w:fldChar w:fldCharType="end"/>
          </w:r>
          <w:r>
            <w:rPr>
              <w:sz w:val="28"/>
              <w:szCs w:val="28"/>
            </w:rPr>
            <w:fldChar w:fldCharType="end"/>
          </w:r>
        </w:p>
        <w:p>
          <w:pPr>
            <w:pStyle w:val="62"/>
            <w:tabs>
              <w:tab w:val="right" w:leader="dot" w:pos="9072"/>
            </w:tabs>
            <w:spacing w:line="560" w:lineRule="exact"/>
            <w:rPr>
              <w:sz w:val="28"/>
              <w:szCs w:val="28"/>
            </w:rPr>
          </w:pPr>
          <w:r>
            <w:fldChar w:fldCharType="begin"/>
          </w:r>
          <w:r>
            <w:instrText xml:space="preserve"> HYPERLINK \l "_Toc26377" </w:instrText>
          </w:r>
          <w:r>
            <w:fldChar w:fldCharType="separate"/>
          </w:r>
          <w:r>
            <w:rPr>
              <w:rFonts w:hint="eastAsia" w:ascii="方正小标宋_GBK" w:hAnsi="华文中宋" w:eastAsia="方正小标宋_GBK" w:cs="宋体"/>
              <w:bCs/>
              <w:sz w:val="28"/>
              <w:szCs w:val="72"/>
            </w:rPr>
            <w:t>七、其他需要说明的问题</w:t>
          </w:r>
          <w:r>
            <w:rPr>
              <w:sz w:val="28"/>
              <w:szCs w:val="28"/>
            </w:rPr>
            <w:tab/>
          </w:r>
          <w:r>
            <w:rPr>
              <w:sz w:val="28"/>
              <w:szCs w:val="28"/>
            </w:rPr>
            <w:fldChar w:fldCharType="begin"/>
          </w:r>
          <w:r>
            <w:rPr>
              <w:sz w:val="28"/>
              <w:szCs w:val="28"/>
            </w:rPr>
            <w:instrText xml:space="preserve"> PAGEREF _Toc26377 </w:instrText>
          </w:r>
          <w:r>
            <w:rPr>
              <w:sz w:val="28"/>
              <w:szCs w:val="28"/>
            </w:rPr>
            <w:fldChar w:fldCharType="separate"/>
          </w:r>
          <w:r>
            <w:rPr>
              <w:sz w:val="28"/>
              <w:szCs w:val="28"/>
            </w:rPr>
            <w:t>17</w:t>
          </w:r>
          <w:r>
            <w:rPr>
              <w:sz w:val="28"/>
              <w:szCs w:val="28"/>
            </w:rPr>
            <w:fldChar w:fldCharType="end"/>
          </w:r>
          <w:r>
            <w:rPr>
              <w:sz w:val="28"/>
              <w:szCs w:val="28"/>
            </w:rPr>
            <w:fldChar w:fldCharType="end"/>
          </w:r>
        </w:p>
        <w:p>
          <w:pPr>
            <w:spacing w:line="560" w:lineRule="exact"/>
            <w:rPr>
              <w:rFonts w:ascii="黑体" w:hAnsi="黑体" w:eastAsia="黑体" w:cs="黑体"/>
              <w:bCs/>
              <w:sz w:val="32"/>
              <w:szCs w:val="32"/>
            </w:rPr>
          </w:pPr>
          <w:r>
            <w:rPr>
              <w:rFonts w:ascii="黑体" w:hAnsi="黑体" w:eastAsia="黑体" w:cs="黑体"/>
              <w:bCs/>
              <w:sz w:val="32"/>
              <w:szCs w:val="48"/>
            </w:rPr>
            <w:fldChar w:fldCharType="end"/>
          </w:r>
        </w:p>
      </w:sdtContent>
    </w:sdt>
    <w:p>
      <w:pPr>
        <w:spacing w:line="560" w:lineRule="exact"/>
        <w:rPr>
          <w:rFonts w:ascii="黑体" w:hAnsi="黑体" w:eastAsia="黑体" w:cs="黑体"/>
          <w:bCs/>
          <w:sz w:val="32"/>
          <w:szCs w:val="32"/>
        </w:rPr>
      </w:pPr>
    </w:p>
    <w:p>
      <w:pPr>
        <w:spacing w:line="560" w:lineRule="exact"/>
        <w:rPr>
          <w:rFonts w:ascii="黑体" w:hAnsi="黑体" w:eastAsia="黑体" w:cs="黑体"/>
          <w:bCs/>
          <w:sz w:val="32"/>
          <w:szCs w:val="32"/>
        </w:rPr>
      </w:pPr>
    </w:p>
    <w:p>
      <w:pPr>
        <w:spacing w:line="560" w:lineRule="exact"/>
        <w:rPr>
          <w:rFonts w:ascii="黑体" w:hAnsi="黑体" w:eastAsia="黑体" w:cs="黑体"/>
          <w:bCs/>
          <w:sz w:val="32"/>
          <w:szCs w:val="32"/>
        </w:rPr>
      </w:pPr>
    </w:p>
    <w:p>
      <w:pPr>
        <w:spacing w:line="560" w:lineRule="exact"/>
        <w:rPr>
          <w:rFonts w:ascii="黑体" w:hAnsi="黑体" w:eastAsia="黑体" w:cs="黑体"/>
          <w:bCs/>
          <w:sz w:val="32"/>
          <w:szCs w:val="32"/>
        </w:rPr>
      </w:pPr>
    </w:p>
    <w:p>
      <w:pPr>
        <w:spacing w:line="560" w:lineRule="exact"/>
        <w:rPr>
          <w:rFonts w:ascii="黑体" w:hAnsi="黑体" w:eastAsia="黑体" w:cs="黑体"/>
          <w:bCs/>
          <w:sz w:val="32"/>
          <w:szCs w:val="32"/>
        </w:rPr>
      </w:pPr>
    </w:p>
    <w:p>
      <w:pPr>
        <w:spacing w:line="560" w:lineRule="exact"/>
        <w:rPr>
          <w:rFonts w:ascii="黑体" w:hAnsi="黑体" w:eastAsia="黑体" w:cs="黑体"/>
          <w:bCs/>
          <w:sz w:val="32"/>
          <w:szCs w:val="32"/>
        </w:rPr>
      </w:pPr>
    </w:p>
    <w:p>
      <w:pPr>
        <w:spacing w:line="560" w:lineRule="exact"/>
        <w:rPr>
          <w:rFonts w:ascii="黑体" w:hAnsi="黑体" w:eastAsia="黑体" w:cs="黑体"/>
          <w:bCs/>
          <w:sz w:val="32"/>
          <w:szCs w:val="32"/>
        </w:rPr>
      </w:pPr>
    </w:p>
    <w:p>
      <w:pPr>
        <w:spacing w:line="560" w:lineRule="exact"/>
        <w:rPr>
          <w:rFonts w:ascii="黑体" w:hAnsi="黑体" w:eastAsia="黑体" w:cs="黑体"/>
          <w:bCs/>
          <w:sz w:val="32"/>
          <w:szCs w:val="32"/>
        </w:rPr>
      </w:pPr>
    </w:p>
    <w:p>
      <w:pPr>
        <w:spacing w:line="560" w:lineRule="exact"/>
        <w:jc w:val="left"/>
        <w:rPr>
          <w:rFonts w:ascii="方正小标宋_GBK" w:hAnsi="华文中宋" w:eastAsia="方正小标宋_GBK" w:cs="宋体"/>
          <w:bCs/>
          <w:kern w:val="0"/>
          <w:sz w:val="44"/>
          <w:szCs w:val="44"/>
        </w:rPr>
        <w:sectPr>
          <w:pgSz w:w="11906" w:h="16838"/>
          <w:pgMar w:top="1417" w:right="1417" w:bottom="1417" w:left="1417" w:header="851" w:footer="992" w:gutter="0"/>
          <w:cols w:space="425" w:num="1"/>
          <w:docGrid w:type="lines" w:linePitch="312" w:charSpace="0"/>
        </w:sectPr>
      </w:pPr>
    </w:p>
    <w:p>
      <w:pPr>
        <w:spacing w:line="560" w:lineRule="exact"/>
        <w:ind w:firstLine="640" w:firstLineChars="200"/>
        <w:jc w:val="left"/>
        <w:outlineLvl w:val="0"/>
        <w:rPr>
          <w:rFonts w:ascii="黑体" w:hAnsi="黑体" w:eastAsia="黑体" w:cs="黑体"/>
          <w:bCs/>
          <w:kern w:val="0"/>
          <w:sz w:val="32"/>
          <w:szCs w:val="32"/>
        </w:rPr>
      </w:pPr>
      <w:bookmarkStart w:id="0" w:name="_Toc5664"/>
      <w:r>
        <w:rPr>
          <w:rFonts w:hint="eastAsia" w:ascii="黑体" w:hAnsi="黑体" w:eastAsia="黑体" w:cs="黑体"/>
          <w:bCs/>
          <w:kern w:val="0"/>
          <w:sz w:val="32"/>
          <w:szCs w:val="32"/>
        </w:rPr>
        <w:t>一、基本概况</w:t>
      </w:r>
      <w:bookmarkEnd w:id="0"/>
    </w:p>
    <w:p>
      <w:pPr>
        <w:pStyle w:val="4"/>
        <w:spacing w:before="0" w:after="0"/>
        <w:ind w:firstLine="643"/>
        <w:rPr>
          <w:rFonts w:ascii="楷体" w:hAnsi="楷体" w:eastAsia="楷体" w:cs="楷体"/>
        </w:rPr>
      </w:pPr>
      <w:bookmarkStart w:id="1" w:name="_Toc28501"/>
      <w:r>
        <w:rPr>
          <w:rFonts w:hint="eastAsia" w:ascii="楷体" w:hAnsi="楷体" w:eastAsia="楷体" w:cs="楷体"/>
        </w:rPr>
        <w:t>（一）项目概况</w:t>
      </w:r>
      <w:bookmarkEnd w:id="1"/>
    </w:p>
    <w:p>
      <w:pPr>
        <w:pStyle w:val="5"/>
        <w:spacing w:before="0" w:after="0"/>
        <w:ind w:firstLine="643"/>
        <w:rPr>
          <w:rFonts w:ascii="仿宋" w:hAnsi="仿宋" w:eastAsia="仿宋" w:cs="仿宋"/>
        </w:rPr>
      </w:pPr>
      <w:bookmarkStart w:id="2" w:name="_Toc4286"/>
      <w:r>
        <w:rPr>
          <w:rFonts w:hint="eastAsia" w:ascii="仿宋" w:hAnsi="仿宋" w:eastAsia="仿宋" w:cs="仿宋"/>
        </w:rPr>
        <w:t>1、项目背景</w:t>
      </w:r>
      <w:bookmarkEnd w:id="2"/>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塔城地区水利水电科学研究所根据塔城地区行政公署文件成立于1985年5月25日，2002年7月由塔城地区行署办公室文件批准更名为“塔城地区水利水电科学研究所”。2016年5月第七次通过新疆维吾尔自治区质量技术监督局资质认定复评审，并颁发《检验检测机构资质认定证书》；2017年3月第三次通过新疆维吾尔自治区水利厅水利工程质量检测岩土工程类、混凝土工程类乙级资质延续评审，并获得《资质等级证书》。塔城地区水利水电科学研究所隶属于塔城地区水利局，是塔城地区水利工程质量检测和调查评价技术业务部门。</w:t>
      </w:r>
    </w:p>
    <w:p>
      <w:pPr>
        <w:pStyle w:val="5"/>
        <w:spacing w:before="0" w:after="0"/>
        <w:ind w:firstLine="643"/>
        <w:rPr>
          <w:rFonts w:ascii="仿宋" w:hAnsi="仿宋" w:eastAsia="仿宋" w:cs="仿宋"/>
        </w:rPr>
      </w:pPr>
      <w:bookmarkStart w:id="3" w:name="_Toc31832"/>
      <w:r>
        <w:rPr>
          <w:rFonts w:hint="eastAsia" w:ascii="仿宋" w:hAnsi="仿宋" w:eastAsia="仿宋" w:cs="仿宋"/>
        </w:rPr>
        <w:t>2、项目主要内容及实施情况</w:t>
      </w:r>
      <w:bookmarkEnd w:id="3"/>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项目主要内容：</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（1）岩土工程类质量检测预期完成土工试验500组，土工合成材料2组。</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 xml:space="preserve"> (2)混凝土工程类质量检测预期完成水泥100组，粉煤灰30组，混凝土200组，钢筋30组，骨料50组，外加剂5组，抗冻试验10组，抗渗试验10组，配合比5组。</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(3)水土保持监测预期完成水土保持监测合同5项。</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(4)预期检测产品合格率99%。</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(5)预期检测结果准确率：99%。</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(6)预期客户满意率：95%。</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项目实施情况：项目目前已经完成实际设立的目标，项目在实施过程中严格按照目标设立的各阶段任务进行开展工作，在前期立项过程中严把质量关，建立安全防护机制，保证项目实施各阶段安全顺利进行。</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本项目总投资83.68万元，其中：财政本级资金83.68万元。项目实际支出73.88万元， 支出率为88.3%。</w:t>
      </w:r>
    </w:p>
    <w:p>
      <w:pPr>
        <w:pStyle w:val="5"/>
        <w:spacing w:before="0" w:after="0"/>
        <w:ind w:firstLine="643"/>
        <w:rPr>
          <w:rFonts w:ascii="仿宋" w:hAnsi="仿宋" w:eastAsia="仿宋" w:cs="仿宋"/>
        </w:rPr>
      </w:pPr>
      <w:bookmarkStart w:id="4" w:name="_Toc1338"/>
      <w:r>
        <w:rPr>
          <w:rFonts w:hint="eastAsia" w:ascii="仿宋" w:hAnsi="仿宋" w:eastAsia="仿宋" w:cs="仿宋"/>
        </w:rPr>
        <w:t>3、资金投入和使用情况</w:t>
      </w:r>
      <w:bookmarkEnd w:id="4"/>
    </w:p>
    <w:p>
      <w:pPr>
        <w:spacing w:line="560" w:lineRule="exact"/>
        <w:ind w:firstLine="640" w:firstLineChars="200"/>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项目预算总投资83.68万元，按照单位财务制度相关规定，资金支出符合“工程质量检测工作经费”专项资金费用范围，做到了专款专用。在项目资金拨付和使用过程中，为确保项目资金的安全性，提高项目资金使用效率，根据项目实施进展情况使用资金。</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5" w:name="page10"/>
      <w:bookmarkEnd w:id="5"/>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“工程质量检测工作经费”项目预算资金来源于“塔财预[2020]0129”拨付的资金，“工程质量检测工作经费”项目资金到位83.68万元，用于支付“工程质量检测工作经费”项目实施进程中的各项费用。</w:t>
      </w:r>
    </w:p>
    <w:p>
      <w:pPr>
        <w:pStyle w:val="4"/>
        <w:spacing w:before="0" w:after="0"/>
        <w:ind w:firstLine="643"/>
        <w:rPr>
          <w:rFonts w:ascii="楷体" w:hAnsi="楷体" w:eastAsia="楷体" w:cs="楷体"/>
        </w:rPr>
      </w:pPr>
      <w:bookmarkStart w:id="6" w:name="_Toc5616"/>
      <w:r>
        <w:rPr>
          <w:rFonts w:hint="eastAsia" w:ascii="楷体" w:hAnsi="楷体" w:eastAsia="楷体" w:cs="楷体"/>
        </w:rPr>
        <w:t>（二）项目绩效目标</w:t>
      </w:r>
      <w:bookmarkEnd w:id="6"/>
    </w:p>
    <w:p>
      <w:pPr>
        <w:pStyle w:val="5"/>
        <w:spacing w:before="0" w:after="0"/>
        <w:ind w:firstLine="643"/>
        <w:rPr>
          <w:rFonts w:ascii="仿宋" w:hAnsi="仿宋" w:eastAsia="仿宋" w:cs="仿宋"/>
        </w:rPr>
      </w:pPr>
      <w:bookmarkStart w:id="7" w:name="_Toc30310"/>
      <w:r>
        <w:rPr>
          <w:rFonts w:hint="eastAsia" w:ascii="仿宋" w:hAnsi="仿宋" w:eastAsia="仿宋" w:cs="仿宋"/>
        </w:rPr>
        <w:t>1、总体目标</w:t>
      </w:r>
      <w:bookmarkEnd w:id="7"/>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（1）组织检验检测设备检定、校准工作。</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（2）组织开展塔城市阿不都拉水库工程、额敏县（兵地、辽阳）工业园区供水工程（一期）、白杨河引水工程修复工程的质量检测工作。</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（3）组织地区各县市水利工程质量检测工作。</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（4）组织开展水土保持监测工作。</w:t>
      </w:r>
    </w:p>
    <w:p>
      <w:pPr>
        <w:pStyle w:val="5"/>
        <w:spacing w:before="0" w:after="0"/>
        <w:ind w:firstLine="643"/>
        <w:rPr>
          <w:rFonts w:ascii="仿宋" w:hAnsi="仿宋" w:eastAsia="仿宋" w:cs="仿宋"/>
        </w:rPr>
      </w:pPr>
      <w:bookmarkStart w:id="8" w:name="_Toc7981"/>
      <w:r>
        <w:rPr>
          <w:rFonts w:hint="eastAsia" w:ascii="仿宋" w:hAnsi="仿宋" w:eastAsia="仿宋" w:cs="仿宋"/>
        </w:rPr>
        <w:t>2、阶段性目标</w:t>
      </w:r>
      <w:bookmarkEnd w:id="8"/>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 xml:space="preserve">（1）前期准备：根据历年工作情况，年初召开会议下达专项工作任务，并拟定了2020年工作计划： </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&lt;1&gt;组织检验检测设备鉴定、校准工作。</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&lt;2&gt;组织开展塔城市阿布都拉水库工程、额敏县（兵地、辽宁）工业园区供水（一期）、白杨河引水工程修复工程的质量检测工作。</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&lt;3&gt;组织地区各县市水利工程质量检测工作，</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&lt;4&gt;组织开展水土保持监测工作。</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根据以上工作需要，申请2020年工程质量检测工作经费83.68万元。</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（2）组织实施：资金一到位，立即根据项目要求实施项目，截止2020年12月31日使用73.88万元，预算执行率88.30%；</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截止2020年12月份，项目完成岩土工程类质量检测（土工试验、土工合成材料）预期完成502组，实际完成760组，达到预期效果的151%；水库工程质量检测（水泥、粉煤灰、混凝土）预期完成330组，实际完成322组，达到预期效果的97.6%；防洪工程质量检测（钢筋、骨料、外加剂、砖）预期完成85组，实际完成98组，达到预期效果的115%；农田水利工程质量检测（抗冻、抗渗、配合比）预期完成25组，实际完成23组，达到预期效果的92%；水土保持监测合同预期完成5项，实际完成5项，达到预期效果的100%；检测产品合格率预计大于等于99%，实际为100%，达到预期效果的100%；仪器设备鉴定情况预计大于等于70台（套），实际鉴定情况73台（套），达到预期效果的104%；水利工程试验检测完成任务预计大于等于5项，实际完成任务6项，达到预期效果的120%；水利工程试验检测支出成本小于等于192.08万元，实际支出成本189.86万元，未超出预期支出成本目标；检测费收入预期大于等于90.88.万元，实际检测费收入187.31万元，达到预期效果的206%；服务对象满意度预期达到95%。实际达到100%。</w:t>
      </w:r>
      <w:bookmarkStart w:id="9" w:name="_Toc142"/>
    </w:p>
    <w:p>
      <w:pPr>
        <w:spacing w:line="560" w:lineRule="exact"/>
        <w:ind w:firstLine="640" w:firstLineChars="200"/>
        <w:jc w:val="left"/>
        <w:outlineLvl w:val="0"/>
        <w:rPr>
          <w:rFonts w:ascii="黑体" w:hAnsi="黑体" w:eastAsia="黑体" w:cs="黑体"/>
          <w:bCs/>
          <w:kern w:val="0"/>
          <w:sz w:val="32"/>
          <w:szCs w:val="32"/>
        </w:rPr>
      </w:pPr>
      <w:r>
        <w:rPr>
          <w:rFonts w:hint="eastAsia" w:ascii="黑体" w:hAnsi="黑体" w:eastAsia="黑体" w:cs="黑体"/>
          <w:bCs/>
          <w:kern w:val="0"/>
          <w:sz w:val="32"/>
          <w:szCs w:val="32"/>
        </w:rPr>
        <w:t>二、绩效评价工作开展情况</w:t>
      </w:r>
      <w:bookmarkEnd w:id="9"/>
    </w:p>
    <w:p>
      <w:pPr>
        <w:pStyle w:val="4"/>
        <w:spacing w:before="0" w:after="0"/>
        <w:ind w:firstLine="643"/>
        <w:rPr>
          <w:rFonts w:ascii="楷体" w:hAnsi="楷体" w:eastAsia="楷体" w:cs="楷体"/>
        </w:rPr>
      </w:pPr>
      <w:bookmarkStart w:id="10" w:name="_Toc23226"/>
      <w:r>
        <w:rPr>
          <w:rFonts w:hint="eastAsia" w:ascii="楷体" w:hAnsi="楷体" w:eastAsia="楷体" w:cs="楷体"/>
        </w:rPr>
        <w:t>（一）绩效评价目的、对象和范围</w:t>
      </w:r>
      <w:bookmarkEnd w:id="10"/>
    </w:p>
    <w:p>
      <w:pPr>
        <w:pStyle w:val="5"/>
        <w:spacing w:before="0" w:after="0"/>
        <w:ind w:firstLine="643"/>
        <w:rPr>
          <w:rFonts w:ascii="仿宋" w:hAnsi="仿宋" w:eastAsia="仿宋" w:cs="仿宋"/>
        </w:rPr>
      </w:pPr>
      <w:bookmarkStart w:id="11" w:name="_Toc23801"/>
      <w:r>
        <w:rPr>
          <w:rFonts w:hint="eastAsia" w:ascii="仿宋" w:hAnsi="仿宋" w:eastAsia="仿宋" w:cs="仿宋"/>
        </w:rPr>
        <w:t>1、绩效评价的目的</w:t>
      </w:r>
      <w:bookmarkEnd w:id="11"/>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财政支出绩效评价运用科学、规范的绩效评价方法，制定统一的评价标准，使财政资金得到事前、事中和事后多方面的控制。本次绩效评价遵循财政部《关于印发&lt;项目支出绩效评价管理办法&gt;的通知》，《关于印发&lt;塔城地区全面实施财政支出绩效管理的工作方案&gt;的通知》</w:t>
      </w:r>
      <w:bookmarkStart w:id="34" w:name="_GoBack"/>
      <w:bookmarkEnd w:id="34"/>
      <w:r>
        <w:rPr>
          <w:rFonts w:hint="eastAsia" w:ascii="仿宋_GB2312" w:hAnsi="仿宋_GB2312" w:eastAsia="仿宋_GB2312" w:cs="仿宋_GB2312"/>
          <w:kern w:val="1"/>
          <w:sz w:val="32"/>
          <w:szCs w:val="32"/>
        </w:rPr>
        <w:t>文件精神，对我所2020年执行“工程质量检测项目工作经费”进行绩效评价。从提高检测质量的效率和效益，提出有针对性的建议，提高对“工程质量检测项目工作经费”的有效利用度，财政支出绩效评价贯穿于财政支出安排和实施的全过程，是对“工程质量检测项目工作经费”支出效益、管理水平、投入风险等方面的综合评价；是发挥财政调控功能、提高财政资金安排科学性、促进财政支持社会经济目标实现的重要保证。</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（1）“工程质量检测项目工作经费”项目在实施前向财政提供支出绩效方面的资金管理信息，为促进项目支出能够严格按照资金管理规定进行。</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（2）“工程质量检测项目工作经费”项目绩效管理为财政支出运行提供及时、有效的信息。</w:t>
      </w:r>
    </w:p>
    <w:p>
      <w:pPr>
        <w:widowControl/>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kern w:val="1"/>
          <w:sz w:val="32"/>
          <w:szCs w:val="32"/>
        </w:rPr>
        <w:t>综合来看，通过开展有效的财政支出绩效评价管理，达到改进预算管理、控制节约成本，提高预算资金使用效益的目的。</w:t>
      </w:r>
    </w:p>
    <w:p>
      <w:pPr>
        <w:pStyle w:val="5"/>
        <w:spacing w:before="0" w:after="0"/>
        <w:ind w:firstLine="643"/>
        <w:rPr>
          <w:rFonts w:ascii="仿宋" w:hAnsi="仿宋" w:eastAsia="仿宋" w:cs="仿宋"/>
        </w:rPr>
      </w:pPr>
      <w:bookmarkStart w:id="12" w:name="_Toc16614"/>
      <w:r>
        <w:rPr>
          <w:rFonts w:hint="eastAsia" w:ascii="仿宋" w:hAnsi="仿宋" w:eastAsia="仿宋" w:cs="仿宋"/>
        </w:rPr>
        <w:t>2、绩效评价的对象</w:t>
      </w:r>
      <w:bookmarkEnd w:id="12"/>
    </w:p>
    <w:p>
      <w:pPr>
        <w:spacing w:line="560" w:lineRule="exact"/>
        <w:ind w:firstLine="641"/>
        <w:rPr>
          <w:rFonts w:ascii="仿宋_GB2312" w:hAnsi="仿宋_GB2312" w:eastAsia="仿宋_GB2312" w:cs="仿宋_GB2312"/>
          <w:sz w:val="32"/>
          <w:szCs w:val="32"/>
        </w:rPr>
      </w:pPr>
      <w:bookmarkStart w:id="13" w:name="_Toc15958"/>
      <w:r>
        <w:rPr>
          <w:rFonts w:hint="eastAsia" w:ascii="仿宋_GB2312" w:hAnsi="仿宋_GB2312" w:eastAsia="仿宋_GB2312" w:cs="仿宋_GB2312"/>
          <w:sz w:val="32"/>
          <w:szCs w:val="32"/>
        </w:rPr>
        <w:t>根据工作需要，我单位《</w:t>
      </w:r>
      <w:r>
        <w:rPr>
          <w:rFonts w:hint="eastAsia" w:ascii="仿宋_GB2312" w:hAnsi="仿宋_GB2312" w:eastAsia="仿宋_GB2312" w:cs="仿宋_GB2312"/>
          <w:kern w:val="1"/>
          <w:sz w:val="32"/>
          <w:szCs w:val="32"/>
        </w:rPr>
        <w:t>工程质量检测项目工作经费</w:t>
      </w:r>
      <w:r>
        <w:rPr>
          <w:rFonts w:hint="eastAsia" w:ascii="仿宋_GB2312" w:hAnsi="仿宋_GB2312" w:eastAsia="仿宋_GB2312" w:cs="仿宋_GB2312"/>
          <w:sz w:val="32"/>
          <w:szCs w:val="32"/>
        </w:rPr>
        <w:t>》，对此项目开展绩效评价。</w:t>
      </w:r>
    </w:p>
    <w:p>
      <w:pPr>
        <w:pStyle w:val="5"/>
        <w:spacing w:before="0" w:after="0"/>
        <w:ind w:firstLine="643"/>
        <w:rPr>
          <w:rFonts w:ascii="仿宋" w:hAnsi="仿宋" w:eastAsia="仿宋" w:cs="仿宋"/>
        </w:rPr>
      </w:pPr>
      <w:r>
        <w:rPr>
          <w:rFonts w:hint="eastAsia" w:ascii="仿宋" w:hAnsi="仿宋" w:eastAsia="仿宋" w:cs="仿宋"/>
        </w:rPr>
        <w:t>3、绩效评价的范围</w:t>
      </w:r>
      <w:bookmarkEnd w:id="13"/>
    </w:p>
    <w:p>
      <w:pPr>
        <w:pStyle w:val="4"/>
        <w:spacing w:before="0" w:after="0"/>
        <w:ind w:firstLine="640"/>
        <w:rPr>
          <w:rFonts w:ascii="仿宋_GB2312" w:hAnsi="仿宋_GB2312" w:eastAsia="仿宋_GB2312" w:cs="仿宋_GB2312"/>
          <w:b w:val="0"/>
          <w:bCs w:val="0"/>
          <w:iCs w:val="0"/>
          <w:kern w:val="2"/>
          <w:szCs w:val="32"/>
        </w:rPr>
      </w:pPr>
      <w:bookmarkStart w:id="14" w:name="_Toc20178"/>
      <w:r>
        <w:rPr>
          <w:rFonts w:hint="eastAsia" w:ascii="仿宋_GB2312" w:hAnsi="仿宋_GB2312" w:eastAsia="仿宋_GB2312" w:cs="仿宋_GB2312"/>
          <w:b w:val="0"/>
          <w:bCs w:val="0"/>
          <w:iCs w:val="0"/>
          <w:kern w:val="2"/>
          <w:szCs w:val="32"/>
        </w:rPr>
        <w:t>本次评价从项目决策（包括绩效目标、决策过程）、项目管理（包括项目资金、项目实施）、项目产出（包括项目产出数量、产出质量、产出时效和产出成本）项目效益四个维度进行评价。</w:t>
      </w:r>
    </w:p>
    <w:p>
      <w:pPr>
        <w:pStyle w:val="4"/>
        <w:spacing w:before="0" w:after="0"/>
        <w:ind w:firstLine="643"/>
        <w:rPr>
          <w:rFonts w:ascii="楷体" w:hAnsi="楷体" w:eastAsia="楷体" w:cs="楷体"/>
        </w:rPr>
      </w:pPr>
      <w:r>
        <w:rPr>
          <w:rFonts w:hint="eastAsia" w:ascii="楷体" w:hAnsi="楷体" w:eastAsia="楷体" w:cs="楷体"/>
        </w:rPr>
        <w:t>（二）绩效评价原则、评价指标体系、评价方法、评价标准。</w:t>
      </w:r>
      <w:bookmarkEnd w:id="14"/>
    </w:p>
    <w:p>
      <w:pPr>
        <w:pStyle w:val="5"/>
        <w:spacing w:before="0" w:after="0"/>
        <w:ind w:firstLine="643"/>
        <w:rPr>
          <w:rFonts w:ascii="仿宋" w:hAnsi="仿宋" w:eastAsia="仿宋" w:cs="仿宋"/>
        </w:rPr>
      </w:pPr>
      <w:bookmarkStart w:id="15" w:name="_Toc13734"/>
      <w:r>
        <w:rPr>
          <w:rFonts w:hint="eastAsia" w:ascii="仿宋" w:hAnsi="仿宋" w:eastAsia="仿宋" w:cs="仿宋"/>
        </w:rPr>
        <w:t>1、绩效评价原则</w:t>
      </w:r>
      <w:bookmarkEnd w:id="15"/>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本次项目绩效评价遵循以下基本原则：</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（1）科学公正。绩效评价应当运用科学合理的方法，按照规范的程序，对“工程质量检测项目工作经费”项目绩效进行客观、公正的反映。</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（2）统筹兼顾。单位自评、部门评价和财政评价应职责明确，各有侧重，相互衔接。单位自评应由项目单位自主实施，即“谁支出、谁自评”。部门评价和财政评价应在单位自评的基础上开展。</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（3）激励约束。绩效评价结果应与预算安排、政策调整、改进管理实质性挂钩，体现奖优罚劣和激励相容导向，有效要安排、低效要压减、无效要问责。</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（4）公开透明。绩效评价结果应依法依规公开，并自觉接受社会监督。</w:t>
      </w:r>
    </w:p>
    <w:p>
      <w:pPr>
        <w:pStyle w:val="5"/>
        <w:spacing w:before="0" w:after="0"/>
        <w:ind w:firstLine="643"/>
        <w:rPr>
          <w:rFonts w:ascii="仿宋" w:hAnsi="仿宋" w:eastAsia="仿宋" w:cs="仿宋"/>
        </w:rPr>
      </w:pPr>
      <w:bookmarkStart w:id="16" w:name="_Toc24640"/>
      <w:r>
        <w:rPr>
          <w:rFonts w:hint="eastAsia" w:ascii="仿宋" w:hAnsi="仿宋" w:eastAsia="仿宋" w:cs="仿宋"/>
        </w:rPr>
        <w:t>2、评价指标体系</w:t>
      </w:r>
      <w:bookmarkEnd w:id="16"/>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绩效评价框架是开展绩效评价的核心。绩效评价框架包括评价准则、关键评价问题、评价指标、数据来源、数据收集方法等。指标体系建立过程如下：</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（1）确定评价指标</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采用层次分析法，建立评价指标体系。绩效评价将指标分为项目决策、项目产出、项目效益、项目过程四个维度，最终形成一个由多个相互联系的指标组成的多层次指标体系。</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（2）确定权重</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确定各个指标相对于项目总体绩效的权重分值。在绩效评价指标体系中，项目决策权重为</w:t>
      </w:r>
      <w:r>
        <w:rPr>
          <w:rFonts w:ascii="仿宋_GB2312" w:hAnsi="仿宋_GB2312" w:eastAsia="仿宋_GB2312" w:cs="仿宋_GB2312"/>
          <w:kern w:val="1"/>
          <w:sz w:val="32"/>
          <w:szCs w:val="32"/>
        </w:rPr>
        <w:t>5</w:t>
      </w:r>
      <w:r>
        <w:rPr>
          <w:rFonts w:hint="eastAsia" w:ascii="仿宋_GB2312" w:hAnsi="仿宋_GB2312" w:eastAsia="仿宋_GB2312" w:cs="仿宋_GB2312"/>
          <w:kern w:val="1"/>
          <w:sz w:val="32"/>
          <w:szCs w:val="32"/>
        </w:rPr>
        <w:t>分，项目过程权重值占5分，项目产出权重值占</w:t>
      </w:r>
      <w:r>
        <w:rPr>
          <w:rFonts w:ascii="仿宋_GB2312" w:hAnsi="仿宋_GB2312" w:eastAsia="仿宋_GB2312" w:cs="仿宋_GB2312"/>
          <w:kern w:val="1"/>
          <w:sz w:val="32"/>
          <w:szCs w:val="32"/>
        </w:rPr>
        <w:t>5</w:t>
      </w:r>
      <w:r>
        <w:rPr>
          <w:rFonts w:hint="eastAsia" w:ascii="仿宋_GB2312" w:hAnsi="仿宋_GB2312" w:eastAsia="仿宋_GB2312" w:cs="仿宋_GB2312"/>
          <w:kern w:val="1"/>
          <w:sz w:val="32"/>
          <w:szCs w:val="32"/>
        </w:rPr>
        <w:t>0分，项目效益权重占</w:t>
      </w:r>
      <w:r>
        <w:rPr>
          <w:rFonts w:ascii="仿宋_GB2312" w:hAnsi="仿宋_GB2312" w:eastAsia="仿宋_GB2312" w:cs="仿宋_GB2312"/>
          <w:kern w:val="1"/>
          <w:sz w:val="32"/>
          <w:szCs w:val="32"/>
        </w:rPr>
        <w:t>4</w:t>
      </w:r>
      <w:r>
        <w:rPr>
          <w:rFonts w:hint="eastAsia" w:ascii="仿宋_GB2312" w:hAnsi="仿宋_GB2312" w:eastAsia="仿宋_GB2312" w:cs="仿宋_GB2312"/>
          <w:kern w:val="1"/>
          <w:sz w:val="32"/>
          <w:szCs w:val="32"/>
        </w:rPr>
        <w:t>0分。</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（3）确定指标标准值</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指标标准值是绩效评价指标的尺度，既要反映同类项目的先进水平，又要符合项目的实际绩效水平。具体采用计划标准等确定此次绩效评价指标标准值。</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绩效评价总分值</w:t>
      </w:r>
      <w:r>
        <w:rPr>
          <w:rFonts w:ascii="仿宋_GB2312" w:hAnsi="仿宋_GB2312" w:eastAsia="仿宋_GB2312" w:cs="仿宋_GB2312"/>
          <w:kern w:val="1"/>
          <w:sz w:val="32"/>
          <w:szCs w:val="32"/>
        </w:rPr>
        <w:t>100</w:t>
      </w:r>
      <w:r>
        <w:rPr>
          <w:rFonts w:hint="eastAsia" w:ascii="仿宋_GB2312" w:hAnsi="仿宋_GB2312" w:eastAsia="仿宋_GB2312" w:cs="仿宋_GB2312"/>
          <w:kern w:val="1"/>
          <w:sz w:val="32"/>
          <w:szCs w:val="32"/>
        </w:rPr>
        <w:t>分，根据综合评分结果，评价计分90分-100分（含90分）对应的评分结果级别为优，80-90分（含80分）对应的评分结果级别为良，60-80分（含60分）对应的评分结果级别为中，60分以下对应的评分结果级别为差。</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具体评价指标体系详情见附件1</w:t>
      </w:r>
    </w:p>
    <w:tbl>
      <w:tblPr>
        <w:tblStyle w:val="24"/>
        <w:tblW w:w="8569" w:type="dxa"/>
        <w:tblInd w:w="0" w:type="dxa"/>
        <w:tblLayout w:type="fixed"/>
        <w:tblCellMar>
          <w:top w:w="0" w:type="dxa"/>
          <w:left w:w="0" w:type="dxa"/>
          <w:bottom w:w="0" w:type="dxa"/>
          <w:right w:w="0" w:type="dxa"/>
        </w:tblCellMar>
      </w:tblPr>
      <w:tblGrid>
        <w:gridCol w:w="1419"/>
        <w:gridCol w:w="2456"/>
        <w:gridCol w:w="3236"/>
        <w:gridCol w:w="1458"/>
      </w:tblGrid>
      <w:tr>
        <w:tblPrEx>
          <w:tblCellMar>
            <w:top w:w="0" w:type="dxa"/>
            <w:left w:w="0" w:type="dxa"/>
            <w:bottom w:w="0" w:type="dxa"/>
            <w:right w:w="0" w:type="dxa"/>
          </w:tblCellMar>
        </w:tblPrEx>
        <w:trPr>
          <w:trHeight w:val="510" w:hRule="atLeast"/>
        </w:trPr>
        <w:tc>
          <w:tcPr>
            <w:tcW w:w="141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一级指标</w:t>
            </w:r>
          </w:p>
        </w:tc>
        <w:tc>
          <w:tcPr>
            <w:tcW w:w="24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二级指标</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三级指标</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得分</w:t>
            </w:r>
          </w:p>
        </w:tc>
      </w:tr>
      <w:tr>
        <w:tblPrEx>
          <w:tblCellMar>
            <w:top w:w="0" w:type="dxa"/>
            <w:left w:w="0" w:type="dxa"/>
            <w:bottom w:w="0" w:type="dxa"/>
            <w:right w:w="0" w:type="dxa"/>
          </w:tblCellMar>
        </w:tblPrEx>
        <w:trPr>
          <w:trHeight w:val="312" w:hRule="atLeast"/>
        </w:trPr>
        <w:tc>
          <w:tcPr>
            <w:tcW w:w="141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决策   （5分）</w:t>
            </w: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项目立项（1分）</w:t>
            </w:r>
          </w:p>
        </w:tc>
        <w:tc>
          <w:tcPr>
            <w:tcW w:w="3236"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pPr>
              <w:widowControl/>
              <w:spacing w:line="560" w:lineRule="exact"/>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立项依据充分性（0.5分）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0.5</w:t>
            </w:r>
          </w:p>
        </w:tc>
      </w:tr>
      <w:tr>
        <w:tblPrEx>
          <w:tblCellMar>
            <w:top w:w="0" w:type="dxa"/>
            <w:left w:w="0" w:type="dxa"/>
            <w:bottom w:w="0" w:type="dxa"/>
            <w:right w:w="0" w:type="dxa"/>
          </w:tblCellMar>
        </w:tblPrEx>
        <w:trPr>
          <w:trHeight w:val="90"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center"/>
              <w:rPr>
                <w:rFonts w:ascii="仿宋_GB2312" w:hAnsi="仿宋_GB2312" w:eastAsia="仿宋_GB2312" w:cs="仿宋_GB2312"/>
                <w:kern w:val="1"/>
                <w:sz w:val="32"/>
                <w:szCs w:val="32"/>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立项程序（0.5分）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0.5</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center"/>
              <w:rPr>
                <w:rFonts w:ascii="仿宋_GB2312" w:hAnsi="仿宋_GB2312" w:eastAsia="仿宋_GB2312" w:cs="仿宋_GB2312"/>
                <w:kern w:val="1"/>
                <w:sz w:val="32"/>
                <w:szCs w:val="32"/>
              </w:rPr>
            </w:pP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绩效目标（2分）</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绩效目标（1分）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1</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center"/>
              <w:rPr>
                <w:rFonts w:ascii="仿宋_GB2312" w:hAnsi="仿宋_GB2312" w:eastAsia="仿宋_GB2312" w:cs="仿宋_GB2312"/>
                <w:kern w:val="1"/>
                <w:sz w:val="32"/>
                <w:szCs w:val="32"/>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效益指标（1分）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1</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center"/>
              <w:rPr>
                <w:rFonts w:ascii="仿宋_GB2312" w:hAnsi="仿宋_GB2312" w:eastAsia="仿宋_GB2312" w:cs="仿宋_GB2312"/>
                <w:kern w:val="1"/>
                <w:sz w:val="32"/>
                <w:szCs w:val="32"/>
              </w:rPr>
            </w:pP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资金投入（2分）</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预算编制（1分）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1</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center"/>
              <w:rPr>
                <w:rFonts w:ascii="仿宋_GB2312" w:hAnsi="仿宋_GB2312" w:eastAsia="仿宋_GB2312" w:cs="仿宋_GB2312"/>
                <w:kern w:val="1"/>
                <w:sz w:val="32"/>
                <w:szCs w:val="32"/>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资金分配合理性（1分）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1</w:t>
            </w:r>
          </w:p>
        </w:tc>
      </w:tr>
      <w:tr>
        <w:tblPrEx>
          <w:tblCellMar>
            <w:top w:w="0" w:type="dxa"/>
            <w:left w:w="0" w:type="dxa"/>
            <w:bottom w:w="0" w:type="dxa"/>
            <w:right w:w="0" w:type="dxa"/>
          </w:tblCellMar>
        </w:tblPrEx>
        <w:trPr>
          <w:trHeight w:val="312" w:hRule="atLeast"/>
        </w:trPr>
        <w:tc>
          <w:tcPr>
            <w:tcW w:w="141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过程   （5分）</w:t>
            </w: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资金管理（3分）</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资金到位率（1分）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1</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center"/>
              <w:rPr>
                <w:rFonts w:ascii="仿宋_GB2312" w:hAnsi="仿宋_GB2312" w:eastAsia="仿宋_GB2312" w:cs="仿宋_GB2312"/>
                <w:kern w:val="1"/>
                <w:sz w:val="32"/>
                <w:szCs w:val="32"/>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预算执行率（1分）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0.8</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center"/>
              <w:rPr>
                <w:rFonts w:ascii="仿宋_GB2312" w:hAnsi="仿宋_GB2312" w:eastAsia="仿宋_GB2312" w:cs="仿宋_GB2312"/>
                <w:kern w:val="1"/>
                <w:sz w:val="32"/>
                <w:szCs w:val="32"/>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p>
        </w:tc>
        <w:tc>
          <w:tcPr>
            <w:tcW w:w="3236"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pPr>
              <w:widowControl/>
              <w:spacing w:line="560" w:lineRule="exact"/>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资金使用合规性（1分）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1</w:t>
            </w:r>
          </w:p>
        </w:tc>
      </w:tr>
      <w:tr>
        <w:tblPrEx>
          <w:tblCellMar>
            <w:top w:w="0" w:type="dxa"/>
            <w:left w:w="0" w:type="dxa"/>
            <w:bottom w:w="0" w:type="dxa"/>
            <w:right w:w="0" w:type="dxa"/>
          </w:tblCellMar>
        </w:tblPrEx>
        <w:trPr>
          <w:trHeight w:val="450"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center"/>
              <w:rPr>
                <w:rFonts w:ascii="仿宋_GB2312" w:hAnsi="仿宋_GB2312" w:eastAsia="仿宋_GB2312" w:cs="仿宋_GB2312"/>
                <w:kern w:val="1"/>
                <w:sz w:val="32"/>
                <w:szCs w:val="32"/>
              </w:rPr>
            </w:pP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组织实施（2分）</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管理制度健全性（1分）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1</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center"/>
              <w:rPr>
                <w:rFonts w:ascii="仿宋_GB2312" w:hAnsi="仿宋_GB2312" w:eastAsia="仿宋_GB2312" w:cs="仿宋_GB2312"/>
                <w:kern w:val="1"/>
                <w:sz w:val="32"/>
                <w:szCs w:val="32"/>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制度执行（1分）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1</w:t>
            </w:r>
          </w:p>
        </w:tc>
      </w:tr>
      <w:tr>
        <w:tblPrEx>
          <w:tblCellMar>
            <w:top w:w="0" w:type="dxa"/>
            <w:left w:w="0" w:type="dxa"/>
            <w:bottom w:w="0" w:type="dxa"/>
            <w:right w:w="0" w:type="dxa"/>
          </w:tblCellMar>
        </w:tblPrEx>
        <w:trPr>
          <w:trHeight w:val="615" w:hRule="atLeast"/>
        </w:trPr>
        <w:tc>
          <w:tcPr>
            <w:tcW w:w="141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产出  （50分）</w:t>
            </w:r>
          </w:p>
        </w:tc>
        <w:tc>
          <w:tcPr>
            <w:tcW w:w="24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产出数量（15分）</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实际完成率（15分）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14.5</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center"/>
              <w:rPr>
                <w:rFonts w:ascii="仿宋_GB2312" w:hAnsi="仿宋_GB2312" w:eastAsia="仿宋_GB2312" w:cs="仿宋_GB2312"/>
                <w:kern w:val="1"/>
                <w:sz w:val="32"/>
                <w:szCs w:val="32"/>
              </w:rPr>
            </w:pPr>
          </w:p>
        </w:tc>
        <w:tc>
          <w:tcPr>
            <w:tcW w:w="24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产出质量（10分）</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质量达标率（10分）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10</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center"/>
              <w:rPr>
                <w:rFonts w:ascii="仿宋_GB2312" w:hAnsi="仿宋_GB2312" w:eastAsia="仿宋_GB2312" w:cs="仿宋_GB2312"/>
                <w:kern w:val="1"/>
                <w:sz w:val="32"/>
                <w:szCs w:val="32"/>
              </w:rPr>
            </w:pPr>
          </w:p>
        </w:tc>
        <w:tc>
          <w:tcPr>
            <w:tcW w:w="24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产出时效（15分）</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完成及时性（15分）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15</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center"/>
              <w:rPr>
                <w:rFonts w:ascii="仿宋_GB2312" w:hAnsi="仿宋_GB2312" w:eastAsia="仿宋_GB2312" w:cs="仿宋_GB2312"/>
                <w:kern w:val="1"/>
                <w:sz w:val="32"/>
                <w:szCs w:val="32"/>
              </w:rPr>
            </w:pPr>
          </w:p>
        </w:tc>
        <w:tc>
          <w:tcPr>
            <w:tcW w:w="24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产出成本（10分）</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成本节约率（10分）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10</w:t>
            </w:r>
          </w:p>
        </w:tc>
      </w:tr>
      <w:tr>
        <w:tblPrEx>
          <w:tblCellMar>
            <w:top w:w="0" w:type="dxa"/>
            <w:left w:w="0" w:type="dxa"/>
            <w:bottom w:w="0" w:type="dxa"/>
            <w:right w:w="0" w:type="dxa"/>
          </w:tblCellMar>
        </w:tblPrEx>
        <w:trPr>
          <w:trHeight w:val="312" w:hRule="atLeast"/>
        </w:trPr>
        <w:tc>
          <w:tcPr>
            <w:tcW w:w="141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效益  （40分）</w:t>
            </w: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项目效益（40分）</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实施效益（30分）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30</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满意度（10分）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10</w:t>
            </w:r>
          </w:p>
        </w:tc>
      </w:tr>
      <w:tr>
        <w:tblPrEx>
          <w:tblCellMar>
            <w:top w:w="0" w:type="dxa"/>
            <w:left w:w="0" w:type="dxa"/>
            <w:bottom w:w="0" w:type="dxa"/>
            <w:right w:w="0" w:type="dxa"/>
          </w:tblCellMar>
        </w:tblPrEx>
        <w:trPr>
          <w:trHeight w:val="312" w:hRule="atLeast"/>
        </w:trPr>
        <w:tc>
          <w:tcPr>
            <w:tcW w:w="711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合计</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99.3</w:t>
            </w:r>
          </w:p>
        </w:tc>
      </w:tr>
    </w:tbl>
    <w:p>
      <w:pPr>
        <w:widowControl/>
        <w:spacing w:line="560" w:lineRule="exact"/>
        <w:ind w:firstLine="640" w:firstLineChars="200"/>
        <w:jc w:val="left"/>
        <w:rPr>
          <w:rFonts w:ascii="仿宋_GB2312" w:hAnsi="仿宋_GB2312" w:eastAsia="仿宋_GB2312" w:cs="仿宋_GB2312"/>
          <w:kern w:val="1"/>
          <w:sz w:val="32"/>
          <w:szCs w:val="32"/>
        </w:rPr>
      </w:pPr>
    </w:p>
    <w:p>
      <w:pPr>
        <w:pStyle w:val="5"/>
        <w:spacing w:before="0" w:after="0"/>
        <w:ind w:firstLine="643"/>
        <w:rPr>
          <w:rFonts w:ascii="仿宋" w:hAnsi="仿宋" w:eastAsia="仿宋" w:cs="仿宋"/>
        </w:rPr>
      </w:pPr>
      <w:bookmarkStart w:id="17" w:name="_Toc2916"/>
      <w:r>
        <w:rPr>
          <w:rFonts w:hint="eastAsia" w:ascii="仿宋" w:hAnsi="仿宋" w:eastAsia="仿宋" w:cs="仿宋"/>
        </w:rPr>
        <w:t>3、绩效评价方法</w:t>
      </w:r>
      <w:bookmarkEnd w:id="17"/>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绩效评价从项目决策、项目过程、项目产出、项目效益四个维度进行评价。评价对象为项目目标实施情况，  评价核心为资金的支出完成情况和项目的产出效益。</w:t>
      </w:r>
    </w:p>
    <w:p>
      <w:pPr>
        <w:widowControl/>
        <w:spacing w:line="560" w:lineRule="exact"/>
        <w:ind w:firstLine="640" w:firstLineChars="200"/>
        <w:jc w:val="left"/>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641"/>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（1）比较法</w:t>
      </w:r>
    </w:p>
    <w:p>
      <w:pPr>
        <w:spacing w:line="560" w:lineRule="exact"/>
        <w:ind w:firstLine="641"/>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spacing w:val="17"/>
          <w:sz w:val="32"/>
          <w:szCs w:val="32"/>
        </w:rPr>
        <w:t>最终验收情况与年度绩效目标对比、预算资金执行情况等相关因素进行比较。</w:t>
      </w:r>
    </w:p>
    <w:p>
      <w:pPr>
        <w:spacing w:line="560" w:lineRule="exact"/>
        <w:ind w:firstLine="641"/>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（2）因素分析法</w:t>
      </w:r>
    </w:p>
    <w:p>
      <w:pPr>
        <w:spacing w:line="560" w:lineRule="exact"/>
        <w:ind w:firstLine="641"/>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spacing w:val="17"/>
          <w:sz w:val="32"/>
          <w:szCs w:val="32"/>
        </w:rPr>
        <w:t>的开展情况、项目产出数量、成本控制、资金拨付文件及自评报告等相关资料的收集和审核，综合分析各因素对绩效目标实现的影响。</w:t>
      </w:r>
    </w:p>
    <w:p>
      <w:pPr>
        <w:pStyle w:val="2"/>
        <w:widowControl w:val="0"/>
        <w:spacing w:before="0" w:after="0" w:line="56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4、评价标准</w:t>
      </w:r>
    </w:p>
    <w:p>
      <w:pPr>
        <w:spacing w:line="560" w:lineRule="exact"/>
        <w:ind w:firstLine="641"/>
        <w:rPr>
          <w:rFonts w:ascii="仿宋_GB2312" w:hAnsi="仿宋_GB2312" w:eastAsia="仿宋_GB2312" w:cs="仿宋_GB2312"/>
          <w:spacing w:val="17"/>
          <w:sz w:val="32"/>
          <w:szCs w:val="32"/>
        </w:rPr>
      </w:pPr>
      <w:r>
        <w:rPr>
          <w:rFonts w:ascii="仿宋_GB2312" w:hAnsi="仿宋_GB2312" w:eastAsia="仿宋_GB2312" w:cs="仿宋_GB2312"/>
          <w:spacing w:val="17"/>
          <w:sz w:val="32"/>
          <w:szCs w:val="32"/>
        </w:rPr>
        <w:t>绩效评价标准通常包括计划标准、行业标准、历史标准等，用于对绩效指标完成情况进行比较。本次评价主要采用了计划标准和行业标准。</w:t>
      </w:r>
    </w:p>
    <w:p>
      <w:pPr>
        <w:pStyle w:val="2"/>
        <w:spacing w:before="0" w:after="0" w:line="560" w:lineRule="exact"/>
        <w:ind w:firstLine="711" w:firstLineChars="200"/>
        <w:jc w:val="both"/>
        <w:rPr>
          <w:rFonts w:ascii="楷体" w:hAnsi="楷体" w:eastAsia="楷体" w:cs="楷体"/>
          <w:spacing w:val="17"/>
        </w:rPr>
      </w:pPr>
      <w:r>
        <w:rPr>
          <w:rFonts w:hint="eastAsia" w:ascii="楷体" w:hAnsi="楷体" w:eastAsia="楷体" w:cs="楷体"/>
          <w:spacing w:val="17"/>
        </w:rPr>
        <w:t>（三）绩效评价工作过程</w:t>
      </w:r>
    </w:p>
    <w:p>
      <w:pPr>
        <w:spacing w:line="560" w:lineRule="exact"/>
        <w:ind w:firstLine="641"/>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spacing w:line="560" w:lineRule="exact"/>
        <w:ind w:firstLine="641"/>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spacing w:line="560" w:lineRule="exact"/>
        <w:ind w:firstLine="641"/>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spacing w:line="560" w:lineRule="exact"/>
        <w:ind w:firstLine="480" w:firstLineChars="150"/>
        <w:jc w:val="left"/>
        <w:outlineLvl w:val="0"/>
        <w:rPr>
          <w:rFonts w:ascii="黑体" w:hAnsi="黑体" w:eastAsia="黑体" w:cs="黑体"/>
          <w:bCs/>
          <w:kern w:val="0"/>
          <w:sz w:val="32"/>
          <w:szCs w:val="32"/>
        </w:rPr>
      </w:pPr>
      <w:bookmarkStart w:id="18" w:name="_Toc28816"/>
      <w:r>
        <w:rPr>
          <w:rFonts w:hint="eastAsia" w:ascii="黑体" w:hAnsi="黑体" w:eastAsia="黑体" w:cs="黑体"/>
          <w:bCs/>
          <w:kern w:val="0"/>
          <w:sz w:val="32"/>
          <w:szCs w:val="32"/>
        </w:rPr>
        <w:t>三、综合评价情况及评价结论（附相关评分表）</w:t>
      </w:r>
      <w:bookmarkEnd w:id="18"/>
    </w:p>
    <w:p>
      <w:pPr>
        <w:spacing w:line="560" w:lineRule="exact"/>
        <w:ind w:firstLine="641"/>
        <w:jc w:val="left"/>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对“工程质量检测工作经费”项目进行客观评价，最终评分结果总得分为</w:t>
      </w:r>
      <w:r>
        <w:rPr>
          <w:rFonts w:ascii="仿宋_GB2312" w:hAnsi="仿宋_GB2312" w:eastAsia="仿宋_GB2312" w:cs="仿宋_GB2312"/>
          <w:spacing w:val="17"/>
          <w:sz w:val="32"/>
          <w:szCs w:val="32"/>
        </w:rPr>
        <w:t>9</w:t>
      </w:r>
      <w:r>
        <w:rPr>
          <w:rFonts w:hint="eastAsia" w:ascii="仿宋_GB2312" w:hAnsi="仿宋_GB2312" w:eastAsia="仿宋_GB2312" w:cs="仿宋_GB2312"/>
          <w:spacing w:val="17"/>
          <w:sz w:val="32"/>
          <w:szCs w:val="32"/>
        </w:rPr>
        <w:t>9.3分，属于“优秀”。其中，项目决策类指标权重为5分，得分为</w:t>
      </w:r>
      <w:r>
        <w:rPr>
          <w:rFonts w:ascii="仿宋_GB2312" w:hAnsi="仿宋_GB2312" w:eastAsia="仿宋_GB2312" w:cs="仿宋_GB2312"/>
          <w:spacing w:val="17"/>
          <w:sz w:val="32"/>
          <w:szCs w:val="32"/>
        </w:rPr>
        <w:t>4.8</w:t>
      </w:r>
      <w:r>
        <w:rPr>
          <w:rFonts w:hint="eastAsia" w:ascii="仿宋_GB2312" w:hAnsi="仿宋_GB2312" w:eastAsia="仿宋_GB2312" w:cs="仿宋_GB2312"/>
          <w:spacing w:val="17"/>
          <w:sz w:val="32"/>
          <w:szCs w:val="32"/>
        </w:rPr>
        <w:t>分，得分率为100%。项目过程类指标权重为5分，得分为4.8分，得分率为96%。项目产出类指标权重为50分，得分为4</w:t>
      </w:r>
      <w:r>
        <w:rPr>
          <w:rFonts w:ascii="仿宋_GB2312" w:hAnsi="仿宋_GB2312" w:eastAsia="仿宋_GB2312" w:cs="仿宋_GB2312"/>
          <w:spacing w:val="17"/>
          <w:sz w:val="32"/>
          <w:szCs w:val="32"/>
        </w:rPr>
        <w:t>9</w:t>
      </w:r>
      <w:r>
        <w:rPr>
          <w:rFonts w:hint="eastAsia" w:ascii="仿宋_GB2312" w:hAnsi="仿宋_GB2312" w:eastAsia="仿宋_GB2312" w:cs="仿宋_GB2312"/>
          <w:spacing w:val="17"/>
          <w:sz w:val="32"/>
          <w:szCs w:val="32"/>
        </w:rPr>
        <w:t>.5分，得分率</w:t>
      </w:r>
      <w:r>
        <w:rPr>
          <w:rFonts w:ascii="仿宋_GB2312" w:hAnsi="仿宋_GB2312" w:eastAsia="仿宋_GB2312" w:cs="仿宋_GB2312"/>
          <w:spacing w:val="17"/>
          <w:sz w:val="32"/>
          <w:szCs w:val="32"/>
        </w:rPr>
        <w:t>9</w:t>
      </w:r>
      <w:r>
        <w:rPr>
          <w:rFonts w:hint="eastAsia" w:ascii="仿宋_GB2312" w:hAnsi="仿宋_GB2312" w:eastAsia="仿宋_GB2312" w:cs="仿宋_GB2312"/>
          <w:spacing w:val="17"/>
          <w:sz w:val="32"/>
          <w:szCs w:val="32"/>
        </w:rPr>
        <w:t>9%。项目效益类指标权重为40分，得分为</w:t>
      </w:r>
      <w:r>
        <w:rPr>
          <w:rFonts w:ascii="仿宋_GB2312" w:hAnsi="仿宋_GB2312" w:eastAsia="仿宋_GB2312" w:cs="仿宋_GB2312"/>
          <w:spacing w:val="17"/>
          <w:sz w:val="32"/>
          <w:szCs w:val="32"/>
        </w:rPr>
        <w:t>40</w:t>
      </w:r>
      <w:r>
        <w:rPr>
          <w:rFonts w:hint="eastAsia" w:ascii="仿宋_GB2312" w:hAnsi="仿宋_GB2312" w:eastAsia="仿宋_GB2312" w:cs="仿宋_GB2312"/>
          <w:spacing w:val="17"/>
          <w:sz w:val="32"/>
          <w:szCs w:val="32"/>
        </w:rPr>
        <w:t>分，得分率为</w:t>
      </w:r>
      <w:r>
        <w:rPr>
          <w:rFonts w:ascii="仿宋_GB2312" w:hAnsi="仿宋_GB2312" w:eastAsia="仿宋_GB2312" w:cs="仿宋_GB2312"/>
          <w:spacing w:val="17"/>
          <w:sz w:val="32"/>
          <w:szCs w:val="32"/>
        </w:rPr>
        <w:t>100</w:t>
      </w:r>
      <w:r>
        <w:rPr>
          <w:rFonts w:hint="eastAsia" w:ascii="仿宋_GB2312" w:hAnsi="仿宋_GB2312" w:eastAsia="仿宋_GB2312" w:cs="仿宋_GB2312"/>
          <w:spacing w:val="17"/>
          <w:sz w:val="32"/>
          <w:szCs w:val="32"/>
        </w:rPr>
        <w:t>%。</w:t>
      </w:r>
    </w:p>
    <w:p>
      <w:pPr>
        <w:spacing w:line="560" w:lineRule="exact"/>
        <w:ind w:firstLine="2664" w:firstLineChars="750"/>
        <w:rPr>
          <w:rFonts w:ascii="仿宋_GB2312" w:hAnsi="仿宋_GB2312" w:eastAsia="仿宋_GB2312" w:cs="仿宋_GB2312"/>
          <w:b/>
          <w:bCs/>
          <w:spacing w:val="17"/>
          <w:sz w:val="32"/>
          <w:szCs w:val="32"/>
        </w:rPr>
      </w:pPr>
      <w:r>
        <w:rPr>
          <w:rFonts w:hint="eastAsia" w:ascii="仿宋_GB2312" w:hAnsi="仿宋_GB2312" w:eastAsia="仿宋_GB2312" w:cs="仿宋_GB2312"/>
          <w:b/>
          <w:bCs/>
          <w:spacing w:val="17"/>
          <w:sz w:val="32"/>
          <w:szCs w:val="32"/>
        </w:rPr>
        <w:t>表1综合评分表</w:t>
      </w:r>
    </w:p>
    <w:tbl>
      <w:tblPr>
        <w:tblStyle w:val="24"/>
        <w:tblpPr w:leftFromText="180" w:rightFromText="180" w:vertAnchor="text" w:horzAnchor="page" w:tblpX="1029" w:tblpY="61"/>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560" w:lineRule="exact"/>
              <w:rPr>
                <w:rFonts w:ascii="宋体" w:hAnsi="宋体" w:cs="宋体"/>
                <w:b/>
                <w:bCs/>
                <w:kern w:val="0"/>
                <w:sz w:val="22"/>
                <w:szCs w:val="22"/>
              </w:rPr>
            </w:pPr>
            <w:r>
              <w:rPr>
                <w:rFonts w:hint="eastAsia" w:ascii="宋体" w:hAnsi="宋体" w:cs="宋体"/>
                <w:b/>
                <w:bCs/>
                <w:kern w:val="0"/>
                <w:sz w:val="22"/>
                <w:szCs w:val="22"/>
              </w:rPr>
              <w:t>一级指标</w:t>
            </w:r>
          </w:p>
        </w:tc>
        <w:tc>
          <w:tcPr>
            <w:tcW w:w="990" w:type="dxa"/>
            <w:shd w:val="clear" w:color="auto" w:fill="BFBFBF"/>
            <w:vAlign w:val="center"/>
          </w:tcPr>
          <w:p>
            <w:pPr>
              <w:widowControl/>
              <w:spacing w:line="560" w:lineRule="exact"/>
              <w:jc w:val="center"/>
              <w:rPr>
                <w:rFonts w:ascii="宋体" w:hAnsi="宋体" w:cs="宋体"/>
                <w:b/>
                <w:bCs/>
                <w:kern w:val="0"/>
                <w:sz w:val="22"/>
                <w:szCs w:val="22"/>
              </w:rPr>
            </w:pPr>
            <w:r>
              <w:rPr>
                <w:rFonts w:hint="eastAsia" w:ascii="宋体" w:hAnsi="宋体" w:cs="宋体"/>
                <w:b/>
                <w:bCs/>
                <w:kern w:val="0"/>
                <w:sz w:val="22"/>
                <w:szCs w:val="22"/>
              </w:rPr>
              <w:t>分值</w:t>
            </w:r>
          </w:p>
        </w:tc>
        <w:tc>
          <w:tcPr>
            <w:tcW w:w="1283" w:type="dxa"/>
            <w:shd w:val="clear" w:color="auto" w:fill="BFBFBF"/>
            <w:vAlign w:val="center"/>
          </w:tcPr>
          <w:p>
            <w:pPr>
              <w:widowControl/>
              <w:spacing w:line="560" w:lineRule="exact"/>
              <w:jc w:val="center"/>
              <w:rPr>
                <w:rFonts w:ascii="宋体" w:hAnsi="宋体" w:cs="宋体"/>
                <w:b/>
                <w:bCs/>
                <w:kern w:val="0"/>
                <w:sz w:val="22"/>
                <w:szCs w:val="22"/>
              </w:rPr>
            </w:pPr>
            <w:r>
              <w:rPr>
                <w:rFonts w:hint="eastAsia" w:ascii="宋体" w:hAnsi="宋体" w:cs="宋体"/>
                <w:b/>
                <w:bCs/>
                <w:kern w:val="0"/>
                <w:sz w:val="22"/>
                <w:szCs w:val="22"/>
              </w:rPr>
              <w:t>二级指标</w:t>
            </w:r>
          </w:p>
        </w:tc>
        <w:tc>
          <w:tcPr>
            <w:tcW w:w="1707" w:type="dxa"/>
            <w:shd w:val="clear" w:color="auto" w:fill="BFBFBF"/>
            <w:vAlign w:val="center"/>
          </w:tcPr>
          <w:p>
            <w:pPr>
              <w:widowControl/>
              <w:spacing w:line="560" w:lineRule="exact"/>
              <w:jc w:val="center"/>
              <w:rPr>
                <w:rFonts w:ascii="宋体" w:hAnsi="宋体" w:cs="宋体"/>
                <w:b/>
                <w:bCs/>
                <w:kern w:val="0"/>
                <w:sz w:val="22"/>
                <w:szCs w:val="22"/>
              </w:rPr>
            </w:pPr>
            <w:r>
              <w:rPr>
                <w:rFonts w:hint="eastAsia" w:ascii="宋体" w:hAnsi="宋体" w:cs="宋体"/>
                <w:b/>
                <w:bCs/>
                <w:kern w:val="0"/>
                <w:sz w:val="22"/>
                <w:szCs w:val="22"/>
              </w:rPr>
              <w:t>三级指标</w:t>
            </w:r>
          </w:p>
        </w:tc>
        <w:tc>
          <w:tcPr>
            <w:tcW w:w="727" w:type="dxa"/>
            <w:shd w:val="clear" w:color="auto" w:fill="BFBFBF"/>
            <w:vAlign w:val="center"/>
          </w:tcPr>
          <w:p>
            <w:pPr>
              <w:widowControl/>
              <w:spacing w:line="560" w:lineRule="exact"/>
              <w:jc w:val="center"/>
              <w:rPr>
                <w:rFonts w:ascii="宋体" w:hAnsi="宋体" w:cs="宋体"/>
                <w:b/>
                <w:bCs/>
                <w:kern w:val="0"/>
                <w:sz w:val="22"/>
                <w:szCs w:val="22"/>
              </w:rPr>
            </w:pPr>
            <w:r>
              <w:rPr>
                <w:rFonts w:hint="eastAsia" w:ascii="宋体" w:hAnsi="宋体" w:cs="宋体"/>
                <w:b/>
                <w:bCs/>
                <w:kern w:val="0"/>
                <w:sz w:val="22"/>
                <w:szCs w:val="22"/>
              </w:rPr>
              <w:t>权重</w:t>
            </w:r>
          </w:p>
        </w:tc>
        <w:tc>
          <w:tcPr>
            <w:tcW w:w="1044" w:type="dxa"/>
            <w:shd w:val="clear" w:color="auto" w:fill="BFBFBF"/>
            <w:vAlign w:val="center"/>
          </w:tcPr>
          <w:p>
            <w:pPr>
              <w:widowControl/>
              <w:tabs>
                <w:tab w:val="left" w:pos="1333"/>
                <w:tab w:val="center" w:pos="3623"/>
              </w:tabs>
              <w:spacing w:line="560" w:lineRule="exact"/>
              <w:jc w:val="center"/>
              <w:rPr>
                <w:rFonts w:ascii="宋体" w:hAnsi="宋体" w:cs="宋体"/>
                <w:b/>
                <w:bCs/>
                <w:kern w:val="0"/>
                <w:sz w:val="22"/>
                <w:szCs w:val="22"/>
              </w:rPr>
            </w:pPr>
            <w:r>
              <w:rPr>
                <w:rFonts w:hint="eastAsia" w:ascii="宋体" w:hAnsi="宋体" w:cs="宋体"/>
                <w:b/>
                <w:bCs/>
                <w:kern w:val="0"/>
                <w:sz w:val="22"/>
                <w:szCs w:val="22"/>
              </w:rPr>
              <w:t>目标值</w:t>
            </w:r>
          </w:p>
        </w:tc>
        <w:tc>
          <w:tcPr>
            <w:tcW w:w="924" w:type="dxa"/>
            <w:shd w:val="clear" w:color="auto" w:fill="BFBFBF"/>
            <w:vAlign w:val="center"/>
          </w:tcPr>
          <w:p>
            <w:pPr>
              <w:widowControl/>
              <w:tabs>
                <w:tab w:val="left" w:pos="1333"/>
                <w:tab w:val="center" w:pos="3623"/>
              </w:tabs>
              <w:spacing w:line="560" w:lineRule="exact"/>
              <w:jc w:val="center"/>
              <w:rPr>
                <w:rFonts w:ascii="宋体" w:hAnsi="宋体" w:cs="宋体"/>
                <w:b/>
                <w:bCs/>
                <w:kern w:val="0"/>
                <w:sz w:val="22"/>
                <w:szCs w:val="22"/>
              </w:rPr>
            </w:pPr>
            <w:r>
              <w:rPr>
                <w:rFonts w:hint="eastAsia" w:ascii="宋体" w:hAnsi="宋体" w:cs="宋体"/>
                <w:b/>
                <w:bCs/>
                <w:kern w:val="0"/>
                <w:sz w:val="22"/>
                <w:szCs w:val="22"/>
              </w:rPr>
              <w:t>业绩值</w:t>
            </w:r>
          </w:p>
        </w:tc>
        <w:tc>
          <w:tcPr>
            <w:tcW w:w="1215" w:type="dxa"/>
            <w:shd w:val="clear" w:color="auto" w:fill="BFBFBF"/>
            <w:vAlign w:val="center"/>
          </w:tcPr>
          <w:p>
            <w:pPr>
              <w:widowControl/>
              <w:tabs>
                <w:tab w:val="left" w:pos="1333"/>
                <w:tab w:val="center" w:pos="3623"/>
              </w:tabs>
              <w:spacing w:line="560" w:lineRule="exact"/>
              <w:jc w:val="center"/>
              <w:rPr>
                <w:rFonts w:ascii="宋体" w:hAnsi="宋体" w:cs="宋体"/>
                <w:b/>
                <w:bCs/>
                <w:kern w:val="0"/>
                <w:sz w:val="22"/>
                <w:szCs w:val="22"/>
              </w:rPr>
            </w:pPr>
            <w:r>
              <w:rPr>
                <w:rFonts w:hint="eastAsia" w:ascii="宋体" w:hAnsi="宋体" w:cs="宋体"/>
                <w:b/>
                <w:bCs/>
                <w:kern w:val="0"/>
                <w:sz w:val="22"/>
                <w:szCs w:val="22"/>
              </w:rPr>
              <w:t>得分率</w:t>
            </w:r>
          </w:p>
        </w:tc>
        <w:tc>
          <w:tcPr>
            <w:tcW w:w="960" w:type="dxa"/>
            <w:shd w:val="clear" w:color="auto" w:fill="BFBFBF"/>
            <w:vAlign w:val="center"/>
          </w:tcPr>
          <w:p>
            <w:pPr>
              <w:widowControl/>
              <w:tabs>
                <w:tab w:val="left" w:pos="1333"/>
                <w:tab w:val="center" w:pos="3623"/>
              </w:tabs>
              <w:spacing w:line="560" w:lineRule="exact"/>
              <w:jc w:val="center"/>
              <w:rPr>
                <w:rFonts w:ascii="宋体" w:hAnsi="宋体" w:cs="宋体"/>
                <w:b/>
                <w:bCs/>
                <w:kern w:val="0"/>
                <w:sz w:val="22"/>
                <w:szCs w:val="22"/>
              </w:rPr>
            </w:pPr>
            <w:r>
              <w:rPr>
                <w:rFonts w:hint="eastAsia" w:ascii="宋体" w:hAnsi="宋体" w:cs="宋体"/>
                <w:b/>
                <w:bCs/>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决策　</w:t>
            </w:r>
          </w:p>
          <w:p>
            <w:pPr>
              <w:widowControl/>
              <w:spacing w:line="560" w:lineRule="exact"/>
              <w:jc w:val="center"/>
              <w:rPr>
                <w:rFonts w:ascii="宋体" w:hAnsi="宋体" w:cs="宋体"/>
                <w:kern w:val="0"/>
                <w:sz w:val="22"/>
                <w:szCs w:val="22"/>
              </w:rPr>
            </w:pPr>
            <w:r>
              <w:rPr>
                <w:rFonts w:hint="eastAsia" w:ascii="宋体" w:hAnsi="宋体" w:cs="宋体"/>
                <w:kern w:val="0"/>
                <w:sz w:val="22"/>
                <w:szCs w:val="22"/>
              </w:rPr>
              <w:t>　</w:t>
            </w:r>
          </w:p>
          <w:p>
            <w:pPr>
              <w:spacing w:line="560" w:lineRule="exact"/>
              <w:jc w:val="center"/>
              <w:rPr>
                <w:rFonts w:ascii="宋体" w:hAnsi="宋体" w:cs="宋体"/>
                <w:kern w:val="0"/>
                <w:sz w:val="22"/>
                <w:szCs w:val="22"/>
              </w:rPr>
            </w:pPr>
            <w:r>
              <w:rPr>
                <w:rFonts w:hint="eastAsia" w:ascii="宋体" w:hAnsi="宋体" w:cs="宋体"/>
                <w:kern w:val="0"/>
                <w:sz w:val="22"/>
                <w:szCs w:val="22"/>
              </w:rPr>
              <w:t>　</w:t>
            </w:r>
          </w:p>
          <w:p>
            <w:pPr>
              <w:widowControl/>
              <w:spacing w:line="560" w:lineRule="exact"/>
              <w:jc w:val="center"/>
              <w:rPr>
                <w:rFonts w:ascii="宋体" w:hAnsi="宋体" w:cs="宋体"/>
                <w:kern w:val="0"/>
                <w:sz w:val="22"/>
                <w:szCs w:val="22"/>
              </w:rPr>
            </w:pPr>
            <w:r>
              <w:rPr>
                <w:rFonts w:hint="eastAsia" w:ascii="宋体" w:hAnsi="宋体" w:cs="宋体"/>
                <w:kern w:val="0"/>
                <w:sz w:val="22"/>
                <w:szCs w:val="22"/>
              </w:rPr>
              <w:t>　</w:t>
            </w:r>
          </w:p>
        </w:tc>
        <w:tc>
          <w:tcPr>
            <w:tcW w:w="990" w:type="dxa"/>
            <w:vMerge w:val="restart"/>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项目立项　</w:t>
            </w:r>
          </w:p>
        </w:tc>
        <w:tc>
          <w:tcPr>
            <w:tcW w:w="1707"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立项依据</w:t>
            </w:r>
          </w:p>
          <w:p>
            <w:pPr>
              <w:widowControl/>
              <w:spacing w:line="560" w:lineRule="exact"/>
              <w:jc w:val="center"/>
              <w:rPr>
                <w:rFonts w:ascii="宋体" w:hAnsi="宋体" w:cs="宋体"/>
                <w:kern w:val="0"/>
                <w:sz w:val="22"/>
                <w:szCs w:val="22"/>
              </w:rPr>
            </w:pPr>
            <w:r>
              <w:rPr>
                <w:rFonts w:hint="eastAsia" w:ascii="宋体" w:hAnsi="宋体" w:cs="宋体"/>
                <w:kern w:val="0"/>
                <w:sz w:val="22"/>
                <w:szCs w:val="22"/>
              </w:rPr>
              <w:t>充分性</w:t>
            </w:r>
          </w:p>
        </w:tc>
        <w:tc>
          <w:tcPr>
            <w:tcW w:w="727"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0.5</w:t>
            </w:r>
          </w:p>
        </w:tc>
        <w:tc>
          <w:tcPr>
            <w:tcW w:w="1044"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924"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1215"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960"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560" w:lineRule="exact"/>
              <w:jc w:val="center"/>
              <w:rPr>
                <w:rFonts w:ascii="宋体" w:hAnsi="宋体" w:cs="宋体"/>
                <w:kern w:val="0"/>
                <w:sz w:val="22"/>
                <w:szCs w:val="22"/>
              </w:rPr>
            </w:pPr>
          </w:p>
        </w:tc>
        <w:tc>
          <w:tcPr>
            <w:tcW w:w="990" w:type="dxa"/>
            <w:vMerge w:val="continue"/>
            <w:shd w:val="clear" w:color="auto" w:fill="FFFFFF"/>
            <w:vAlign w:val="center"/>
          </w:tcPr>
          <w:p>
            <w:pPr>
              <w:widowControl/>
              <w:spacing w:line="560" w:lineRule="exact"/>
              <w:jc w:val="center"/>
              <w:rPr>
                <w:rFonts w:ascii="宋体" w:hAnsi="宋体" w:cs="宋体"/>
                <w:kern w:val="0"/>
                <w:sz w:val="22"/>
                <w:szCs w:val="22"/>
              </w:rPr>
            </w:pPr>
          </w:p>
        </w:tc>
        <w:tc>
          <w:tcPr>
            <w:tcW w:w="1283" w:type="dxa"/>
            <w:vMerge w:val="continue"/>
            <w:shd w:val="clear" w:color="auto" w:fill="FFFFFF"/>
            <w:vAlign w:val="center"/>
          </w:tcPr>
          <w:p>
            <w:pPr>
              <w:widowControl/>
              <w:spacing w:line="560" w:lineRule="exact"/>
              <w:jc w:val="center"/>
              <w:rPr>
                <w:rFonts w:ascii="宋体" w:hAnsi="宋体" w:cs="宋体"/>
                <w:kern w:val="0"/>
                <w:sz w:val="22"/>
                <w:szCs w:val="22"/>
              </w:rPr>
            </w:pPr>
          </w:p>
        </w:tc>
        <w:tc>
          <w:tcPr>
            <w:tcW w:w="1707"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立项程序</w:t>
            </w:r>
          </w:p>
          <w:p>
            <w:pPr>
              <w:widowControl/>
              <w:spacing w:line="560" w:lineRule="exact"/>
              <w:jc w:val="center"/>
              <w:rPr>
                <w:rFonts w:ascii="宋体" w:hAnsi="宋体" w:cs="宋体"/>
                <w:kern w:val="0"/>
                <w:sz w:val="22"/>
                <w:szCs w:val="22"/>
              </w:rPr>
            </w:pPr>
            <w:r>
              <w:rPr>
                <w:rFonts w:hint="eastAsia" w:ascii="宋体" w:hAnsi="宋体" w:cs="宋体"/>
                <w:kern w:val="0"/>
                <w:sz w:val="22"/>
                <w:szCs w:val="22"/>
              </w:rPr>
              <w:t>规范性</w:t>
            </w:r>
          </w:p>
        </w:tc>
        <w:tc>
          <w:tcPr>
            <w:tcW w:w="727"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0.5</w:t>
            </w:r>
          </w:p>
        </w:tc>
        <w:tc>
          <w:tcPr>
            <w:tcW w:w="1044"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924"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1215"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960"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560" w:lineRule="exact"/>
              <w:jc w:val="center"/>
              <w:rPr>
                <w:rFonts w:ascii="宋体" w:hAnsi="宋体" w:cs="宋体"/>
                <w:kern w:val="0"/>
                <w:sz w:val="22"/>
                <w:szCs w:val="22"/>
              </w:rPr>
            </w:pPr>
          </w:p>
        </w:tc>
        <w:tc>
          <w:tcPr>
            <w:tcW w:w="990" w:type="dxa"/>
            <w:vMerge w:val="continue"/>
            <w:shd w:val="clear" w:color="auto" w:fill="FFFFFF"/>
            <w:vAlign w:val="center"/>
          </w:tcPr>
          <w:p>
            <w:pPr>
              <w:widowControl/>
              <w:spacing w:line="560" w:lineRule="exact"/>
              <w:jc w:val="center"/>
              <w:rPr>
                <w:rFonts w:ascii="宋体" w:hAnsi="宋体" w:cs="宋体"/>
                <w:kern w:val="0"/>
                <w:sz w:val="22"/>
                <w:szCs w:val="22"/>
              </w:rPr>
            </w:pPr>
          </w:p>
        </w:tc>
        <w:tc>
          <w:tcPr>
            <w:tcW w:w="1283" w:type="dxa"/>
            <w:vMerge w:val="restart"/>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绩效目标　</w:t>
            </w:r>
          </w:p>
        </w:tc>
        <w:tc>
          <w:tcPr>
            <w:tcW w:w="1707"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绩效目标</w:t>
            </w:r>
          </w:p>
          <w:p>
            <w:pPr>
              <w:widowControl/>
              <w:spacing w:line="560" w:lineRule="exact"/>
              <w:jc w:val="center"/>
              <w:rPr>
                <w:rFonts w:ascii="宋体" w:hAnsi="宋体" w:cs="宋体"/>
                <w:kern w:val="0"/>
                <w:sz w:val="22"/>
                <w:szCs w:val="22"/>
              </w:rPr>
            </w:pPr>
            <w:r>
              <w:rPr>
                <w:rFonts w:hint="eastAsia" w:ascii="宋体" w:hAnsi="宋体" w:cs="宋体"/>
                <w:kern w:val="0"/>
                <w:sz w:val="22"/>
                <w:szCs w:val="22"/>
              </w:rPr>
              <w:t>合理性</w:t>
            </w:r>
          </w:p>
        </w:tc>
        <w:tc>
          <w:tcPr>
            <w:tcW w:w="727"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w:t>
            </w:r>
          </w:p>
        </w:tc>
        <w:tc>
          <w:tcPr>
            <w:tcW w:w="1044"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924"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1215"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960"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560" w:lineRule="exact"/>
              <w:jc w:val="center"/>
              <w:rPr>
                <w:rFonts w:ascii="宋体" w:hAnsi="宋体" w:cs="宋体"/>
                <w:kern w:val="0"/>
                <w:sz w:val="22"/>
                <w:szCs w:val="22"/>
              </w:rPr>
            </w:pPr>
          </w:p>
        </w:tc>
        <w:tc>
          <w:tcPr>
            <w:tcW w:w="990" w:type="dxa"/>
            <w:vMerge w:val="continue"/>
            <w:shd w:val="clear" w:color="auto" w:fill="FFFFFF"/>
            <w:vAlign w:val="center"/>
          </w:tcPr>
          <w:p>
            <w:pPr>
              <w:widowControl/>
              <w:spacing w:line="560" w:lineRule="exact"/>
              <w:jc w:val="center"/>
              <w:rPr>
                <w:rFonts w:ascii="宋体" w:hAnsi="宋体" w:cs="宋体"/>
                <w:kern w:val="0"/>
                <w:sz w:val="22"/>
                <w:szCs w:val="22"/>
              </w:rPr>
            </w:pPr>
          </w:p>
        </w:tc>
        <w:tc>
          <w:tcPr>
            <w:tcW w:w="1283" w:type="dxa"/>
            <w:vMerge w:val="continue"/>
            <w:shd w:val="clear" w:color="auto" w:fill="FFFFFF"/>
            <w:vAlign w:val="center"/>
          </w:tcPr>
          <w:p>
            <w:pPr>
              <w:widowControl/>
              <w:spacing w:line="560" w:lineRule="exact"/>
              <w:jc w:val="center"/>
              <w:rPr>
                <w:rFonts w:ascii="宋体" w:hAnsi="宋体" w:cs="宋体"/>
                <w:kern w:val="0"/>
                <w:sz w:val="22"/>
                <w:szCs w:val="22"/>
              </w:rPr>
            </w:pPr>
          </w:p>
        </w:tc>
        <w:tc>
          <w:tcPr>
            <w:tcW w:w="1707"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绩效指标</w:t>
            </w:r>
          </w:p>
          <w:p>
            <w:pPr>
              <w:widowControl/>
              <w:spacing w:line="560" w:lineRule="exact"/>
              <w:jc w:val="center"/>
              <w:rPr>
                <w:rFonts w:ascii="宋体" w:hAnsi="宋体" w:cs="宋体"/>
                <w:kern w:val="0"/>
                <w:sz w:val="22"/>
                <w:szCs w:val="22"/>
              </w:rPr>
            </w:pPr>
            <w:r>
              <w:rPr>
                <w:rFonts w:hint="eastAsia" w:ascii="宋体" w:hAnsi="宋体" w:cs="宋体"/>
                <w:kern w:val="0"/>
                <w:sz w:val="22"/>
                <w:szCs w:val="22"/>
              </w:rPr>
              <w:t>明确性</w:t>
            </w:r>
          </w:p>
        </w:tc>
        <w:tc>
          <w:tcPr>
            <w:tcW w:w="727"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w:t>
            </w:r>
          </w:p>
        </w:tc>
        <w:tc>
          <w:tcPr>
            <w:tcW w:w="1044"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924"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1215"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960"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560" w:lineRule="exact"/>
              <w:jc w:val="center"/>
              <w:rPr>
                <w:rFonts w:ascii="宋体" w:hAnsi="宋体" w:cs="宋体"/>
                <w:kern w:val="0"/>
                <w:sz w:val="22"/>
                <w:szCs w:val="22"/>
              </w:rPr>
            </w:pPr>
          </w:p>
        </w:tc>
        <w:tc>
          <w:tcPr>
            <w:tcW w:w="990" w:type="dxa"/>
            <w:vMerge w:val="continue"/>
            <w:shd w:val="clear" w:color="auto" w:fill="FFFFFF"/>
            <w:vAlign w:val="center"/>
          </w:tcPr>
          <w:p>
            <w:pPr>
              <w:spacing w:line="560" w:lineRule="exact"/>
              <w:jc w:val="center"/>
              <w:rPr>
                <w:rFonts w:ascii="宋体" w:hAnsi="宋体" w:cs="宋体"/>
                <w:kern w:val="0"/>
                <w:sz w:val="22"/>
                <w:szCs w:val="22"/>
              </w:rPr>
            </w:pPr>
          </w:p>
        </w:tc>
        <w:tc>
          <w:tcPr>
            <w:tcW w:w="1283" w:type="dxa"/>
            <w:vMerge w:val="restart"/>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资金投入</w:t>
            </w:r>
          </w:p>
        </w:tc>
        <w:tc>
          <w:tcPr>
            <w:tcW w:w="1707"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预算编制</w:t>
            </w:r>
          </w:p>
          <w:p>
            <w:pPr>
              <w:widowControl/>
              <w:spacing w:line="560" w:lineRule="exact"/>
              <w:jc w:val="center"/>
              <w:rPr>
                <w:rFonts w:ascii="宋体" w:hAnsi="宋体" w:cs="宋体"/>
                <w:kern w:val="0"/>
                <w:sz w:val="22"/>
                <w:szCs w:val="22"/>
              </w:rPr>
            </w:pPr>
            <w:r>
              <w:rPr>
                <w:rFonts w:hint="eastAsia" w:ascii="宋体" w:hAnsi="宋体" w:cs="宋体"/>
                <w:kern w:val="0"/>
                <w:sz w:val="22"/>
                <w:szCs w:val="22"/>
              </w:rPr>
              <w:t>科学性</w:t>
            </w:r>
          </w:p>
        </w:tc>
        <w:tc>
          <w:tcPr>
            <w:tcW w:w="727"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w:t>
            </w:r>
          </w:p>
        </w:tc>
        <w:tc>
          <w:tcPr>
            <w:tcW w:w="1044"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924"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1215"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960"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560" w:lineRule="exact"/>
              <w:jc w:val="center"/>
              <w:rPr>
                <w:rFonts w:ascii="宋体" w:hAnsi="宋体" w:cs="宋体"/>
                <w:kern w:val="0"/>
                <w:sz w:val="22"/>
                <w:szCs w:val="22"/>
              </w:rPr>
            </w:pPr>
          </w:p>
        </w:tc>
        <w:tc>
          <w:tcPr>
            <w:tcW w:w="990" w:type="dxa"/>
            <w:vMerge w:val="continue"/>
            <w:shd w:val="clear" w:color="auto" w:fill="FFFFFF"/>
            <w:vAlign w:val="center"/>
          </w:tcPr>
          <w:p>
            <w:pPr>
              <w:widowControl/>
              <w:spacing w:line="560" w:lineRule="exact"/>
              <w:jc w:val="center"/>
              <w:rPr>
                <w:rFonts w:ascii="宋体" w:hAnsi="宋体" w:cs="宋体"/>
                <w:kern w:val="0"/>
                <w:sz w:val="22"/>
                <w:szCs w:val="22"/>
              </w:rPr>
            </w:pPr>
          </w:p>
        </w:tc>
        <w:tc>
          <w:tcPr>
            <w:tcW w:w="1283" w:type="dxa"/>
            <w:vMerge w:val="continue"/>
            <w:shd w:val="clear" w:color="auto" w:fill="FFFFFF"/>
            <w:vAlign w:val="center"/>
          </w:tcPr>
          <w:p>
            <w:pPr>
              <w:widowControl/>
              <w:spacing w:line="560" w:lineRule="exact"/>
              <w:jc w:val="center"/>
              <w:rPr>
                <w:rFonts w:ascii="宋体" w:hAnsi="宋体" w:cs="宋体"/>
                <w:kern w:val="0"/>
                <w:sz w:val="22"/>
                <w:szCs w:val="22"/>
              </w:rPr>
            </w:pPr>
          </w:p>
        </w:tc>
        <w:tc>
          <w:tcPr>
            <w:tcW w:w="1707"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资金分配</w:t>
            </w:r>
          </w:p>
          <w:p>
            <w:pPr>
              <w:widowControl/>
              <w:spacing w:line="560" w:lineRule="exact"/>
              <w:jc w:val="center"/>
              <w:rPr>
                <w:rFonts w:ascii="宋体" w:hAnsi="宋体" w:cs="宋体"/>
                <w:kern w:val="0"/>
                <w:sz w:val="22"/>
                <w:szCs w:val="22"/>
              </w:rPr>
            </w:pPr>
            <w:r>
              <w:rPr>
                <w:rFonts w:hint="eastAsia" w:ascii="宋体" w:hAnsi="宋体" w:cs="宋体"/>
                <w:kern w:val="0"/>
                <w:sz w:val="22"/>
                <w:szCs w:val="22"/>
              </w:rPr>
              <w:t>合理性</w:t>
            </w:r>
          </w:p>
        </w:tc>
        <w:tc>
          <w:tcPr>
            <w:tcW w:w="727"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w:t>
            </w:r>
          </w:p>
        </w:tc>
        <w:tc>
          <w:tcPr>
            <w:tcW w:w="1044"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924"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1215"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960"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560" w:lineRule="exact"/>
              <w:jc w:val="center"/>
              <w:rPr>
                <w:rFonts w:ascii="宋体" w:hAnsi="宋体" w:cs="宋体"/>
                <w:kern w:val="0"/>
                <w:sz w:val="22"/>
                <w:szCs w:val="22"/>
              </w:rPr>
            </w:pPr>
            <w:r>
              <w:rPr>
                <w:rFonts w:hint="eastAsia" w:ascii="宋体" w:hAnsi="宋体" w:cs="宋体"/>
                <w:kern w:val="0"/>
                <w:sz w:val="22"/>
                <w:szCs w:val="22"/>
              </w:rPr>
              <w:t>过程</w:t>
            </w:r>
          </w:p>
          <w:p>
            <w:pPr>
              <w:spacing w:line="560" w:lineRule="exact"/>
              <w:jc w:val="center"/>
              <w:rPr>
                <w:rFonts w:ascii="宋体" w:hAnsi="宋体" w:cs="宋体"/>
                <w:kern w:val="0"/>
                <w:sz w:val="22"/>
                <w:szCs w:val="22"/>
              </w:rPr>
            </w:pPr>
            <w:r>
              <w:rPr>
                <w:rFonts w:hint="eastAsia" w:ascii="宋体" w:hAnsi="宋体" w:cs="宋体"/>
                <w:kern w:val="0"/>
                <w:sz w:val="22"/>
                <w:szCs w:val="22"/>
              </w:rPr>
              <w:t>　</w:t>
            </w:r>
          </w:p>
        </w:tc>
        <w:tc>
          <w:tcPr>
            <w:tcW w:w="990" w:type="dxa"/>
            <w:vMerge w:val="restart"/>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资金管理</w:t>
            </w:r>
          </w:p>
        </w:tc>
        <w:tc>
          <w:tcPr>
            <w:tcW w:w="1707"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资金到位率</w:t>
            </w:r>
          </w:p>
        </w:tc>
        <w:tc>
          <w:tcPr>
            <w:tcW w:w="727"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w:t>
            </w:r>
          </w:p>
        </w:tc>
        <w:tc>
          <w:tcPr>
            <w:tcW w:w="1044"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924"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1215"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960"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560" w:lineRule="exact"/>
              <w:jc w:val="center"/>
              <w:rPr>
                <w:rFonts w:ascii="宋体" w:hAnsi="宋体" w:cs="宋体"/>
                <w:kern w:val="0"/>
                <w:sz w:val="22"/>
                <w:szCs w:val="22"/>
              </w:rPr>
            </w:pPr>
          </w:p>
        </w:tc>
        <w:tc>
          <w:tcPr>
            <w:tcW w:w="990" w:type="dxa"/>
            <w:vMerge w:val="continue"/>
            <w:shd w:val="clear" w:color="auto" w:fill="FFFFFF"/>
            <w:vAlign w:val="center"/>
          </w:tcPr>
          <w:p>
            <w:pPr>
              <w:spacing w:line="560" w:lineRule="exact"/>
              <w:jc w:val="center"/>
              <w:rPr>
                <w:rFonts w:ascii="宋体" w:hAnsi="宋体" w:cs="宋体"/>
                <w:kern w:val="0"/>
                <w:sz w:val="22"/>
                <w:szCs w:val="22"/>
              </w:rPr>
            </w:pPr>
          </w:p>
        </w:tc>
        <w:tc>
          <w:tcPr>
            <w:tcW w:w="1283" w:type="dxa"/>
            <w:vMerge w:val="continue"/>
            <w:shd w:val="clear" w:color="auto" w:fill="FFFFFF"/>
            <w:vAlign w:val="center"/>
          </w:tcPr>
          <w:p>
            <w:pPr>
              <w:spacing w:line="560" w:lineRule="exact"/>
              <w:jc w:val="center"/>
              <w:rPr>
                <w:rFonts w:ascii="宋体" w:hAnsi="宋体" w:cs="宋体"/>
                <w:kern w:val="0"/>
                <w:sz w:val="22"/>
                <w:szCs w:val="22"/>
              </w:rPr>
            </w:pPr>
          </w:p>
        </w:tc>
        <w:tc>
          <w:tcPr>
            <w:tcW w:w="1707"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预算执行率</w:t>
            </w:r>
          </w:p>
        </w:tc>
        <w:tc>
          <w:tcPr>
            <w:tcW w:w="727"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w:t>
            </w:r>
          </w:p>
        </w:tc>
        <w:tc>
          <w:tcPr>
            <w:tcW w:w="1044"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924"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1215"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80%</w:t>
            </w:r>
          </w:p>
        </w:tc>
        <w:tc>
          <w:tcPr>
            <w:tcW w:w="960"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560" w:lineRule="exact"/>
              <w:jc w:val="center"/>
              <w:rPr>
                <w:rFonts w:ascii="宋体" w:hAnsi="宋体" w:cs="宋体"/>
                <w:kern w:val="0"/>
                <w:sz w:val="22"/>
                <w:szCs w:val="22"/>
              </w:rPr>
            </w:pPr>
          </w:p>
        </w:tc>
        <w:tc>
          <w:tcPr>
            <w:tcW w:w="990" w:type="dxa"/>
            <w:vMerge w:val="continue"/>
            <w:shd w:val="clear" w:color="auto" w:fill="FFFFFF"/>
            <w:vAlign w:val="center"/>
          </w:tcPr>
          <w:p>
            <w:pPr>
              <w:widowControl/>
              <w:spacing w:line="560" w:lineRule="exact"/>
              <w:jc w:val="center"/>
              <w:rPr>
                <w:rFonts w:ascii="宋体" w:hAnsi="宋体" w:cs="宋体"/>
                <w:kern w:val="0"/>
                <w:sz w:val="22"/>
                <w:szCs w:val="22"/>
              </w:rPr>
            </w:pPr>
          </w:p>
        </w:tc>
        <w:tc>
          <w:tcPr>
            <w:tcW w:w="1283"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资金管理</w:t>
            </w:r>
          </w:p>
        </w:tc>
        <w:tc>
          <w:tcPr>
            <w:tcW w:w="1707"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资金使用</w:t>
            </w:r>
          </w:p>
          <w:p>
            <w:pPr>
              <w:widowControl/>
              <w:spacing w:line="560" w:lineRule="exact"/>
              <w:jc w:val="center"/>
              <w:rPr>
                <w:rFonts w:ascii="宋体" w:hAnsi="宋体" w:cs="宋体"/>
                <w:kern w:val="0"/>
                <w:sz w:val="22"/>
                <w:szCs w:val="22"/>
              </w:rPr>
            </w:pPr>
            <w:r>
              <w:rPr>
                <w:rFonts w:hint="eastAsia" w:ascii="宋体" w:hAnsi="宋体" w:cs="宋体"/>
                <w:kern w:val="0"/>
                <w:sz w:val="22"/>
                <w:szCs w:val="22"/>
              </w:rPr>
              <w:t>合规性</w:t>
            </w:r>
          </w:p>
        </w:tc>
        <w:tc>
          <w:tcPr>
            <w:tcW w:w="727"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w:t>
            </w:r>
          </w:p>
        </w:tc>
        <w:tc>
          <w:tcPr>
            <w:tcW w:w="1044"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924"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1215"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960"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560" w:lineRule="exact"/>
              <w:jc w:val="center"/>
              <w:rPr>
                <w:rFonts w:ascii="宋体" w:hAnsi="宋体" w:cs="宋体"/>
                <w:kern w:val="0"/>
                <w:sz w:val="22"/>
                <w:szCs w:val="22"/>
              </w:rPr>
            </w:pPr>
          </w:p>
        </w:tc>
        <w:tc>
          <w:tcPr>
            <w:tcW w:w="990" w:type="dxa"/>
            <w:vMerge w:val="continue"/>
            <w:shd w:val="clear" w:color="auto" w:fill="FFFFFF"/>
            <w:vAlign w:val="center"/>
          </w:tcPr>
          <w:p>
            <w:pPr>
              <w:spacing w:line="560" w:lineRule="exact"/>
              <w:jc w:val="center"/>
              <w:rPr>
                <w:rFonts w:ascii="宋体" w:hAnsi="宋体" w:cs="宋体"/>
                <w:kern w:val="0"/>
                <w:sz w:val="22"/>
                <w:szCs w:val="22"/>
              </w:rPr>
            </w:pPr>
          </w:p>
        </w:tc>
        <w:tc>
          <w:tcPr>
            <w:tcW w:w="1283" w:type="dxa"/>
            <w:vMerge w:val="restart"/>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组织实施</w:t>
            </w:r>
          </w:p>
        </w:tc>
        <w:tc>
          <w:tcPr>
            <w:tcW w:w="1707"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管理制度</w:t>
            </w:r>
          </w:p>
          <w:p>
            <w:pPr>
              <w:widowControl/>
              <w:spacing w:line="560" w:lineRule="exact"/>
              <w:jc w:val="center"/>
              <w:rPr>
                <w:rFonts w:ascii="宋体" w:hAnsi="宋体" w:cs="宋体"/>
                <w:kern w:val="0"/>
                <w:sz w:val="22"/>
                <w:szCs w:val="22"/>
              </w:rPr>
            </w:pPr>
            <w:r>
              <w:rPr>
                <w:rFonts w:hint="eastAsia" w:ascii="宋体" w:hAnsi="宋体" w:cs="宋体"/>
                <w:kern w:val="0"/>
                <w:sz w:val="22"/>
                <w:szCs w:val="22"/>
              </w:rPr>
              <w:t>健全性</w:t>
            </w:r>
          </w:p>
        </w:tc>
        <w:tc>
          <w:tcPr>
            <w:tcW w:w="727"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w:t>
            </w:r>
          </w:p>
        </w:tc>
        <w:tc>
          <w:tcPr>
            <w:tcW w:w="1044"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924"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1215"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960"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560" w:lineRule="exact"/>
              <w:jc w:val="center"/>
              <w:rPr>
                <w:rFonts w:ascii="宋体" w:hAnsi="宋体" w:cs="宋体"/>
                <w:kern w:val="0"/>
                <w:sz w:val="22"/>
                <w:szCs w:val="22"/>
              </w:rPr>
            </w:pPr>
          </w:p>
        </w:tc>
        <w:tc>
          <w:tcPr>
            <w:tcW w:w="990" w:type="dxa"/>
            <w:vMerge w:val="continue"/>
            <w:shd w:val="clear" w:color="auto" w:fill="FFFFFF"/>
            <w:vAlign w:val="center"/>
          </w:tcPr>
          <w:p>
            <w:pPr>
              <w:widowControl/>
              <w:spacing w:line="560" w:lineRule="exact"/>
              <w:jc w:val="center"/>
              <w:rPr>
                <w:rFonts w:ascii="宋体" w:hAnsi="宋体" w:cs="宋体"/>
                <w:kern w:val="0"/>
                <w:sz w:val="22"/>
                <w:szCs w:val="22"/>
              </w:rPr>
            </w:pPr>
          </w:p>
        </w:tc>
        <w:tc>
          <w:tcPr>
            <w:tcW w:w="1283" w:type="dxa"/>
            <w:vMerge w:val="continue"/>
            <w:shd w:val="clear" w:color="auto" w:fill="FFFFFF"/>
            <w:vAlign w:val="center"/>
          </w:tcPr>
          <w:p>
            <w:pPr>
              <w:widowControl/>
              <w:spacing w:line="560" w:lineRule="exact"/>
              <w:jc w:val="center"/>
              <w:rPr>
                <w:rFonts w:ascii="宋体" w:hAnsi="宋体" w:cs="宋体"/>
                <w:kern w:val="0"/>
                <w:sz w:val="22"/>
                <w:szCs w:val="22"/>
              </w:rPr>
            </w:pPr>
          </w:p>
        </w:tc>
        <w:tc>
          <w:tcPr>
            <w:tcW w:w="1707"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制度执行</w:t>
            </w:r>
          </w:p>
          <w:p>
            <w:pPr>
              <w:widowControl/>
              <w:spacing w:line="560" w:lineRule="exact"/>
              <w:jc w:val="center"/>
              <w:rPr>
                <w:rFonts w:ascii="宋体" w:hAnsi="宋体" w:cs="宋体"/>
                <w:kern w:val="0"/>
                <w:sz w:val="22"/>
                <w:szCs w:val="22"/>
              </w:rPr>
            </w:pPr>
            <w:r>
              <w:rPr>
                <w:rFonts w:hint="eastAsia" w:ascii="宋体" w:hAnsi="宋体" w:cs="宋体"/>
                <w:kern w:val="0"/>
                <w:sz w:val="22"/>
                <w:szCs w:val="22"/>
              </w:rPr>
              <w:t>有效性</w:t>
            </w:r>
          </w:p>
        </w:tc>
        <w:tc>
          <w:tcPr>
            <w:tcW w:w="727"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w:t>
            </w:r>
          </w:p>
        </w:tc>
        <w:tc>
          <w:tcPr>
            <w:tcW w:w="1044"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924"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1215"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960"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产出</w:t>
            </w:r>
          </w:p>
        </w:tc>
        <w:tc>
          <w:tcPr>
            <w:tcW w:w="990" w:type="dxa"/>
            <w:vMerge w:val="restart"/>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50分</w:t>
            </w:r>
          </w:p>
        </w:tc>
        <w:tc>
          <w:tcPr>
            <w:tcW w:w="1283"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产出数量</w:t>
            </w:r>
          </w:p>
        </w:tc>
        <w:tc>
          <w:tcPr>
            <w:tcW w:w="1707"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实际完成率</w:t>
            </w:r>
          </w:p>
        </w:tc>
        <w:tc>
          <w:tcPr>
            <w:tcW w:w="727"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15</w:t>
            </w:r>
          </w:p>
        </w:tc>
        <w:tc>
          <w:tcPr>
            <w:tcW w:w="1044"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924"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1215"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99%</w:t>
            </w:r>
          </w:p>
        </w:tc>
        <w:tc>
          <w:tcPr>
            <w:tcW w:w="960"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14.5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560" w:lineRule="exact"/>
              <w:jc w:val="center"/>
              <w:rPr>
                <w:rFonts w:ascii="宋体" w:hAnsi="宋体" w:cs="宋体"/>
                <w:kern w:val="0"/>
                <w:sz w:val="22"/>
                <w:szCs w:val="22"/>
              </w:rPr>
            </w:pPr>
          </w:p>
        </w:tc>
        <w:tc>
          <w:tcPr>
            <w:tcW w:w="990" w:type="dxa"/>
            <w:vMerge w:val="continue"/>
            <w:shd w:val="clear" w:color="auto" w:fill="FFFFFF"/>
            <w:vAlign w:val="center"/>
          </w:tcPr>
          <w:p>
            <w:pPr>
              <w:widowControl/>
              <w:spacing w:line="560" w:lineRule="exact"/>
              <w:jc w:val="center"/>
              <w:rPr>
                <w:rFonts w:ascii="宋体" w:hAnsi="宋体" w:cs="宋体"/>
                <w:kern w:val="0"/>
                <w:sz w:val="22"/>
                <w:szCs w:val="22"/>
              </w:rPr>
            </w:pPr>
          </w:p>
        </w:tc>
        <w:tc>
          <w:tcPr>
            <w:tcW w:w="1283"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产出质量</w:t>
            </w:r>
          </w:p>
        </w:tc>
        <w:tc>
          <w:tcPr>
            <w:tcW w:w="1707"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质量达标率</w:t>
            </w:r>
          </w:p>
        </w:tc>
        <w:tc>
          <w:tcPr>
            <w:tcW w:w="727"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w:t>
            </w:r>
          </w:p>
        </w:tc>
        <w:tc>
          <w:tcPr>
            <w:tcW w:w="1044"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924"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1215"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960"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560" w:lineRule="exact"/>
              <w:jc w:val="center"/>
              <w:rPr>
                <w:rFonts w:ascii="宋体" w:hAnsi="宋体" w:cs="宋体"/>
                <w:kern w:val="0"/>
                <w:sz w:val="22"/>
                <w:szCs w:val="22"/>
              </w:rPr>
            </w:pPr>
          </w:p>
        </w:tc>
        <w:tc>
          <w:tcPr>
            <w:tcW w:w="990" w:type="dxa"/>
            <w:vMerge w:val="continue"/>
            <w:shd w:val="clear" w:color="auto" w:fill="FFFFFF"/>
            <w:vAlign w:val="center"/>
          </w:tcPr>
          <w:p>
            <w:pPr>
              <w:spacing w:line="560" w:lineRule="exact"/>
              <w:jc w:val="center"/>
              <w:rPr>
                <w:rFonts w:ascii="宋体" w:hAnsi="宋体" w:cs="宋体"/>
                <w:kern w:val="0"/>
                <w:sz w:val="22"/>
                <w:szCs w:val="22"/>
              </w:rPr>
            </w:pPr>
          </w:p>
        </w:tc>
        <w:tc>
          <w:tcPr>
            <w:tcW w:w="1283" w:type="dxa"/>
            <w:shd w:val="clear" w:color="auto" w:fill="FFFFFF"/>
            <w:vAlign w:val="center"/>
          </w:tcPr>
          <w:p>
            <w:pPr>
              <w:spacing w:line="560" w:lineRule="exact"/>
              <w:jc w:val="center"/>
              <w:rPr>
                <w:rFonts w:ascii="宋体" w:hAnsi="宋体" w:cs="宋体"/>
                <w:kern w:val="0"/>
                <w:sz w:val="22"/>
                <w:szCs w:val="22"/>
              </w:rPr>
            </w:pPr>
            <w:r>
              <w:rPr>
                <w:rFonts w:hint="eastAsia" w:ascii="宋体" w:hAnsi="宋体" w:cs="宋体"/>
                <w:kern w:val="0"/>
                <w:sz w:val="22"/>
                <w:szCs w:val="22"/>
              </w:rPr>
              <w:t>产出时效</w:t>
            </w:r>
          </w:p>
        </w:tc>
        <w:tc>
          <w:tcPr>
            <w:tcW w:w="1707"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完成及时性</w:t>
            </w:r>
          </w:p>
        </w:tc>
        <w:tc>
          <w:tcPr>
            <w:tcW w:w="727"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15</w:t>
            </w:r>
          </w:p>
        </w:tc>
        <w:tc>
          <w:tcPr>
            <w:tcW w:w="1044"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924"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1215"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960"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trPr>
        <w:tc>
          <w:tcPr>
            <w:tcW w:w="1104" w:type="dxa"/>
            <w:vMerge w:val="continue"/>
            <w:shd w:val="clear" w:color="auto" w:fill="FFFFFF"/>
            <w:vAlign w:val="center"/>
          </w:tcPr>
          <w:p>
            <w:pPr>
              <w:widowControl/>
              <w:spacing w:line="560" w:lineRule="exact"/>
              <w:jc w:val="center"/>
              <w:rPr>
                <w:rFonts w:ascii="宋体" w:hAnsi="宋体" w:cs="宋体"/>
                <w:kern w:val="0"/>
                <w:sz w:val="22"/>
                <w:szCs w:val="22"/>
              </w:rPr>
            </w:pPr>
          </w:p>
        </w:tc>
        <w:tc>
          <w:tcPr>
            <w:tcW w:w="990" w:type="dxa"/>
            <w:vMerge w:val="continue"/>
            <w:shd w:val="clear" w:color="auto" w:fill="FFFFFF"/>
            <w:vAlign w:val="center"/>
          </w:tcPr>
          <w:p>
            <w:pPr>
              <w:widowControl/>
              <w:spacing w:line="560" w:lineRule="exact"/>
              <w:jc w:val="center"/>
              <w:rPr>
                <w:rFonts w:ascii="宋体" w:hAnsi="宋体" w:cs="宋体"/>
                <w:kern w:val="0"/>
                <w:sz w:val="22"/>
                <w:szCs w:val="22"/>
              </w:rPr>
            </w:pPr>
          </w:p>
        </w:tc>
        <w:tc>
          <w:tcPr>
            <w:tcW w:w="1283"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产出成本</w:t>
            </w:r>
          </w:p>
        </w:tc>
        <w:tc>
          <w:tcPr>
            <w:tcW w:w="1707"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成本节约率</w:t>
            </w:r>
          </w:p>
        </w:tc>
        <w:tc>
          <w:tcPr>
            <w:tcW w:w="727"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w:t>
            </w:r>
          </w:p>
        </w:tc>
        <w:tc>
          <w:tcPr>
            <w:tcW w:w="1044"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924"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1215"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960"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效益　</w:t>
            </w:r>
          </w:p>
        </w:tc>
        <w:tc>
          <w:tcPr>
            <w:tcW w:w="990" w:type="dxa"/>
            <w:vMerge w:val="restart"/>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40分</w:t>
            </w:r>
          </w:p>
        </w:tc>
        <w:tc>
          <w:tcPr>
            <w:tcW w:w="1283" w:type="dxa"/>
            <w:vMerge w:val="restart"/>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项目效益　</w:t>
            </w:r>
          </w:p>
        </w:tc>
        <w:tc>
          <w:tcPr>
            <w:tcW w:w="1707"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实施效益</w:t>
            </w:r>
          </w:p>
          <w:p>
            <w:pPr>
              <w:widowControl/>
              <w:spacing w:line="560" w:lineRule="exact"/>
              <w:jc w:val="center"/>
              <w:rPr>
                <w:rFonts w:ascii="宋体" w:hAnsi="宋体" w:cs="宋体"/>
                <w:kern w:val="0"/>
                <w:sz w:val="22"/>
                <w:szCs w:val="22"/>
              </w:rPr>
            </w:pPr>
            <w:r>
              <w:rPr>
                <w:rFonts w:hint="eastAsia" w:ascii="宋体" w:hAnsi="宋体" w:cs="宋体"/>
                <w:kern w:val="0"/>
                <w:sz w:val="22"/>
                <w:szCs w:val="22"/>
              </w:rPr>
              <w:t>（社会效益、经济效益、可持续效益）</w:t>
            </w:r>
          </w:p>
        </w:tc>
        <w:tc>
          <w:tcPr>
            <w:tcW w:w="727"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30</w:t>
            </w:r>
          </w:p>
        </w:tc>
        <w:tc>
          <w:tcPr>
            <w:tcW w:w="1044"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有所提升</w:t>
            </w:r>
          </w:p>
        </w:tc>
        <w:tc>
          <w:tcPr>
            <w:tcW w:w="924"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有所提升</w:t>
            </w:r>
          </w:p>
        </w:tc>
        <w:tc>
          <w:tcPr>
            <w:tcW w:w="1215"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960"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560" w:lineRule="exact"/>
              <w:jc w:val="center"/>
              <w:rPr>
                <w:rFonts w:ascii="宋体" w:hAnsi="宋体" w:cs="宋体"/>
                <w:kern w:val="0"/>
                <w:sz w:val="22"/>
                <w:szCs w:val="22"/>
              </w:rPr>
            </w:pPr>
          </w:p>
        </w:tc>
        <w:tc>
          <w:tcPr>
            <w:tcW w:w="990" w:type="dxa"/>
            <w:vMerge w:val="continue"/>
            <w:shd w:val="clear" w:color="auto" w:fill="FFFFFF"/>
            <w:vAlign w:val="center"/>
          </w:tcPr>
          <w:p>
            <w:pPr>
              <w:widowControl/>
              <w:spacing w:line="560" w:lineRule="exact"/>
              <w:jc w:val="center"/>
              <w:rPr>
                <w:rFonts w:ascii="宋体" w:hAnsi="宋体" w:cs="宋体"/>
                <w:kern w:val="0"/>
                <w:sz w:val="22"/>
                <w:szCs w:val="22"/>
              </w:rPr>
            </w:pPr>
          </w:p>
        </w:tc>
        <w:tc>
          <w:tcPr>
            <w:tcW w:w="1283" w:type="dxa"/>
            <w:vMerge w:val="continue"/>
            <w:shd w:val="clear" w:color="auto" w:fill="FFFFFF"/>
            <w:vAlign w:val="center"/>
          </w:tcPr>
          <w:p>
            <w:pPr>
              <w:widowControl/>
              <w:spacing w:line="560" w:lineRule="exact"/>
              <w:jc w:val="center"/>
              <w:rPr>
                <w:rFonts w:ascii="宋体" w:hAnsi="宋体" w:cs="宋体"/>
                <w:kern w:val="0"/>
                <w:sz w:val="22"/>
                <w:szCs w:val="22"/>
              </w:rPr>
            </w:pPr>
          </w:p>
        </w:tc>
        <w:tc>
          <w:tcPr>
            <w:tcW w:w="1707" w:type="dxa"/>
            <w:shd w:val="clear" w:color="auto"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满意度</w:t>
            </w:r>
          </w:p>
        </w:tc>
        <w:tc>
          <w:tcPr>
            <w:tcW w:w="727"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w:t>
            </w:r>
          </w:p>
        </w:tc>
        <w:tc>
          <w:tcPr>
            <w:tcW w:w="1044"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有所提升</w:t>
            </w:r>
          </w:p>
        </w:tc>
        <w:tc>
          <w:tcPr>
            <w:tcW w:w="924"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有所提升</w:t>
            </w:r>
          </w:p>
        </w:tc>
        <w:tc>
          <w:tcPr>
            <w:tcW w:w="1215"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100%</w:t>
            </w:r>
          </w:p>
        </w:tc>
        <w:tc>
          <w:tcPr>
            <w:tcW w:w="960" w:type="dxa"/>
            <w:shd w:val="clear" w:color="000000" w:fill="FFFFFF"/>
            <w:vAlign w:val="center"/>
          </w:tcPr>
          <w:p>
            <w:pPr>
              <w:widowControl/>
              <w:spacing w:line="560" w:lineRule="exact"/>
              <w:jc w:val="center"/>
              <w:rPr>
                <w:rFonts w:ascii="宋体" w:hAnsi="宋体" w:cs="宋体"/>
                <w:kern w:val="0"/>
                <w:sz w:val="22"/>
                <w:szCs w:val="22"/>
              </w:rPr>
            </w:pPr>
            <w:r>
              <w:rPr>
                <w:rFonts w:hint="eastAsia" w:ascii="宋体" w:hAnsi="宋体" w:cs="宋体"/>
                <w:kern w:val="0"/>
                <w:sz w:val="22"/>
                <w:szCs w:val="22"/>
              </w:rPr>
              <w:t>10</w:t>
            </w:r>
          </w:p>
        </w:tc>
      </w:tr>
    </w:tbl>
    <w:p>
      <w:pPr>
        <w:spacing w:line="560" w:lineRule="exact"/>
        <w:ind w:firstLine="640" w:firstLineChars="200"/>
        <w:jc w:val="left"/>
        <w:outlineLvl w:val="0"/>
        <w:rPr>
          <w:rFonts w:ascii="黑体" w:hAnsi="黑体" w:eastAsia="黑体" w:cs="黑体"/>
          <w:bCs/>
          <w:kern w:val="0"/>
          <w:sz w:val="32"/>
          <w:szCs w:val="32"/>
        </w:rPr>
      </w:pPr>
      <w:bookmarkStart w:id="19" w:name="_Toc5879"/>
      <w:r>
        <w:rPr>
          <w:rFonts w:hint="eastAsia" w:ascii="黑体" w:hAnsi="黑体" w:eastAsia="黑体" w:cs="黑体"/>
          <w:bCs/>
          <w:kern w:val="0"/>
          <w:sz w:val="32"/>
          <w:szCs w:val="32"/>
        </w:rPr>
        <w:t>四、绩效评价指标分析</w:t>
      </w:r>
      <w:bookmarkEnd w:id="19"/>
    </w:p>
    <w:p>
      <w:pPr>
        <w:pStyle w:val="4"/>
        <w:spacing w:before="0" w:after="0"/>
        <w:ind w:firstLine="643"/>
        <w:rPr>
          <w:rFonts w:ascii="楷体" w:hAnsi="楷体" w:eastAsia="楷体" w:cs="楷体"/>
        </w:rPr>
      </w:pPr>
      <w:bookmarkStart w:id="20" w:name="_Toc17645"/>
      <w:r>
        <w:rPr>
          <w:rFonts w:hint="eastAsia" w:ascii="楷体" w:hAnsi="楷体" w:eastAsia="楷体" w:cs="楷体"/>
        </w:rPr>
        <w:t>（一）项目决策情况</w:t>
      </w:r>
      <w:bookmarkEnd w:id="20"/>
    </w:p>
    <w:p>
      <w:pPr>
        <w:spacing w:line="560" w:lineRule="exact"/>
        <w:ind w:firstLine="708" w:firstLineChars="200"/>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项目决策指标从立项依据充分性、立项程序、绩效目标、绩效指标、预算编制、资金分配合理性6个方面对项目立项是否符合法律法规、相关政策、发展规划以及部门职责，用以反映和考核项目立项依据情况进行考察，立项依据充分性分值0.5分，实际得分0.5分，得分率100%；立项程序分值1分，实际得分1分，得分率100%；绩效目标分值1分，实际得分1分，得分率100%；绩效指标分值1分，实际得分1分，得分率100%；预算编制分值1分，实际得分1分，得分率100%；资金分配合理性分值1分，实际得分1分，得分率100%。项目决策指标得分情况如表所示。</w:t>
      </w:r>
    </w:p>
    <w:p>
      <w:pPr>
        <w:spacing w:line="560" w:lineRule="exact"/>
        <w:ind w:firstLine="711" w:firstLineChars="200"/>
        <w:jc w:val="center"/>
        <w:rPr>
          <w:rFonts w:ascii="仿宋_GB2312" w:hAnsi="仿宋_GB2312" w:eastAsia="仿宋_GB2312" w:cs="仿宋_GB2312"/>
          <w:b/>
          <w:bCs/>
          <w:spacing w:val="17"/>
          <w:sz w:val="32"/>
          <w:szCs w:val="32"/>
        </w:rPr>
      </w:pPr>
      <w:r>
        <w:rPr>
          <w:rFonts w:hint="eastAsia" w:ascii="仿宋_GB2312" w:hAnsi="仿宋_GB2312" w:eastAsia="仿宋_GB2312" w:cs="仿宋_GB2312"/>
          <w:b/>
          <w:bCs/>
          <w:spacing w:val="17"/>
          <w:sz w:val="32"/>
          <w:szCs w:val="32"/>
        </w:rPr>
        <w:t>项目决策指标得分情况</w:t>
      </w:r>
    </w:p>
    <w:tbl>
      <w:tblPr>
        <w:tblStyle w:val="24"/>
        <w:tblpPr w:leftFromText="180" w:rightFromText="180" w:vertAnchor="text" w:horzAnchor="page" w:tblpX="1790" w:tblpY="553"/>
        <w:tblOverlap w:val="never"/>
        <w:tblW w:w="9020" w:type="dxa"/>
        <w:tblInd w:w="0" w:type="dxa"/>
        <w:tblLayout w:type="fixed"/>
        <w:tblCellMar>
          <w:top w:w="0" w:type="dxa"/>
          <w:left w:w="0" w:type="dxa"/>
          <w:bottom w:w="0" w:type="dxa"/>
          <w:right w:w="0" w:type="dxa"/>
        </w:tblCellMar>
      </w:tblPr>
      <w:tblGrid>
        <w:gridCol w:w="2254"/>
        <w:gridCol w:w="2254"/>
        <w:gridCol w:w="2255"/>
        <w:gridCol w:w="2257"/>
      </w:tblGrid>
      <w:tr>
        <w:tblPrEx>
          <w:tblCellMar>
            <w:top w:w="0" w:type="dxa"/>
            <w:left w:w="0" w:type="dxa"/>
            <w:bottom w:w="0" w:type="dxa"/>
            <w:right w:w="0" w:type="dxa"/>
          </w:tblCellMar>
        </w:tblPrEx>
        <w:trPr>
          <w:trHeight w:val="554" w:hRule="atLeast"/>
        </w:trPr>
        <w:tc>
          <w:tcPr>
            <w:tcW w:w="22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jc w:val="center"/>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三级指标</w:t>
            </w:r>
          </w:p>
        </w:tc>
        <w:tc>
          <w:tcPr>
            <w:tcW w:w="22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jc w:val="center"/>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权重</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jc w:val="center"/>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得分率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jc w:val="center"/>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实际得分</w:t>
            </w:r>
          </w:p>
        </w:tc>
      </w:tr>
      <w:tr>
        <w:tblPrEx>
          <w:tblCellMar>
            <w:top w:w="0" w:type="dxa"/>
            <w:left w:w="0" w:type="dxa"/>
            <w:bottom w:w="0" w:type="dxa"/>
            <w:right w:w="0" w:type="dxa"/>
          </w:tblCellMar>
        </w:tblPrEx>
        <w:trPr>
          <w:trHeight w:val="1086" w:hRule="atLeast"/>
        </w:trPr>
        <w:tc>
          <w:tcPr>
            <w:tcW w:w="2254"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立项依据充分性</w:t>
            </w:r>
          </w:p>
        </w:tc>
        <w:tc>
          <w:tcPr>
            <w:tcW w:w="225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0.5</w:t>
            </w:r>
          </w:p>
        </w:tc>
        <w:tc>
          <w:tcPr>
            <w:tcW w:w="225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100%</w:t>
            </w:r>
          </w:p>
        </w:tc>
        <w:tc>
          <w:tcPr>
            <w:tcW w:w="225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0.5</w:t>
            </w:r>
          </w:p>
        </w:tc>
      </w:tr>
      <w:tr>
        <w:tblPrEx>
          <w:tblCellMar>
            <w:top w:w="0" w:type="dxa"/>
            <w:left w:w="0" w:type="dxa"/>
            <w:bottom w:w="0" w:type="dxa"/>
            <w:right w:w="0" w:type="dxa"/>
          </w:tblCellMar>
        </w:tblPrEx>
        <w:trPr>
          <w:trHeight w:val="554" w:hRule="atLeast"/>
        </w:trPr>
        <w:tc>
          <w:tcPr>
            <w:tcW w:w="225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立项程序</w:t>
            </w:r>
          </w:p>
        </w:tc>
        <w:tc>
          <w:tcPr>
            <w:tcW w:w="225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0.5</w:t>
            </w:r>
          </w:p>
        </w:tc>
        <w:tc>
          <w:tcPr>
            <w:tcW w:w="225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100%</w:t>
            </w:r>
          </w:p>
        </w:tc>
        <w:tc>
          <w:tcPr>
            <w:tcW w:w="225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0.5</w:t>
            </w:r>
          </w:p>
        </w:tc>
      </w:tr>
      <w:tr>
        <w:tblPrEx>
          <w:tblCellMar>
            <w:top w:w="0" w:type="dxa"/>
            <w:left w:w="0" w:type="dxa"/>
            <w:bottom w:w="0" w:type="dxa"/>
            <w:right w:w="0" w:type="dxa"/>
          </w:tblCellMar>
        </w:tblPrEx>
        <w:trPr>
          <w:trHeight w:val="554" w:hRule="atLeast"/>
        </w:trPr>
        <w:tc>
          <w:tcPr>
            <w:tcW w:w="225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绩效目标</w:t>
            </w:r>
          </w:p>
        </w:tc>
        <w:tc>
          <w:tcPr>
            <w:tcW w:w="225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1</w:t>
            </w:r>
          </w:p>
        </w:tc>
        <w:tc>
          <w:tcPr>
            <w:tcW w:w="225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100%</w:t>
            </w:r>
          </w:p>
        </w:tc>
        <w:tc>
          <w:tcPr>
            <w:tcW w:w="225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1</w:t>
            </w:r>
          </w:p>
        </w:tc>
      </w:tr>
      <w:tr>
        <w:tblPrEx>
          <w:tblCellMar>
            <w:top w:w="0" w:type="dxa"/>
            <w:left w:w="0" w:type="dxa"/>
            <w:bottom w:w="0" w:type="dxa"/>
            <w:right w:w="0" w:type="dxa"/>
          </w:tblCellMar>
        </w:tblPrEx>
        <w:trPr>
          <w:trHeight w:val="554" w:hRule="atLeast"/>
        </w:trPr>
        <w:tc>
          <w:tcPr>
            <w:tcW w:w="225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绩效指标</w:t>
            </w:r>
          </w:p>
        </w:tc>
        <w:tc>
          <w:tcPr>
            <w:tcW w:w="225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1</w:t>
            </w:r>
          </w:p>
        </w:tc>
        <w:tc>
          <w:tcPr>
            <w:tcW w:w="225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100%</w:t>
            </w:r>
          </w:p>
        </w:tc>
        <w:tc>
          <w:tcPr>
            <w:tcW w:w="225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1</w:t>
            </w:r>
          </w:p>
        </w:tc>
      </w:tr>
      <w:tr>
        <w:tblPrEx>
          <w:tblCellMar>
            <w:top w:w="0" w:type="dxa"/>
            <w:left w:w="0" w:type="dxa"/>
            <w:bottom w:w="0" w:type="dxa"/>
            <w:right w:w="0" w:type="dxa"/>
          </w:tblCellMar>
        </w:tblPrEx>
        <w:trPr>
          <w:trHeight w:val="554" w:hRule="atLeast"/>
        </w:trPr>
        <w:tc>
          <w:tcPr>
            <w:tcW w:w="225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预算编制</w:t>
            </w:r>
          </w:p>
        </w:tc>
        <w:tc>
          <w:tcPr>
            <w:tcW w:w="225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1</w:t>
            </w:r>
          </w:p>
        </w:tc>
        <w:tc>
          <w:tcPr>
            <w:tcW w:w="225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100%</w:t>
            </w:r>
          </w:p>
        </w:tc>
        <w:tc>
          <w:tcPr>
            <w:tcW w:w="225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1</w:t>
            </w:r>
          </w:p>
        </w:tc>
      </w:tr>
      <w:tr>
        <w:tblPrEx>
          <w:tblCellMar>
            <w:top w:w="0" w:type="dxa"/>
            <w:left w:w="0" w:type="dxa"/>
            <w:bottom w:w="0" w:type="dxa"/>
            <w:right w:w="0" w:type="dxa"/>
          </w:tblCellMar>
        </w:tblPrEx>
        <w:trPr>
          <w:trHeight w:val="1086" w:hRule="atLeast"/>
        </w:trPr>
        <w:tc>
          <w:tcPr>
            <w:tcW w:w="225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资金分配合理性</w:t>
            </w:r>
          </w:p>
        </w:tc>
        <w:tc>
          <w:tcPr>
            <w:tcW w:w="225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1</w:t>
            </w:r>
          </w:p>
        </w:tc>
        <w:tc>
          <w:tcPr>
            <w:tcW w:w="225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100%</w:t>
            </w:r>
          </w:p>
        </w:tc>
        <w:tc>
          <w:tcPr>
            <w:tcW w:w="225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1</w:t>
            </w:r>
          </w:p>
        </w:tc>
      </w:tr>
      <w:tr>
        <w:tblPrEx>
          <w:tblCellMar>
            <w:top w:w="0" w:type="dxa"/>
            <w:left w:w="0" w:type="dxa"/>
            <w:bottom w:w="0" w:type="dxa"/>
            <w:right w:w="0" w:type="dxa"/>
          </w:tblCellMar>
        </w:tblPrEx>
        <w:trPr>
          <w:trHeight w:val="563" w:hRule="atLeast"/>
        </w:trPr>
        <w:tc>
          <w:tcPr>
            <w:tcW w:w="225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合计</w:t>
            </w:r>
          </w:p>
        </w:tc>
        <w:tc>
          <w:tcPr>
            <w:tcW w:w="225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5</w:t>
            </w:r>
          </w:p>
        </w:tc>
        <w:tc>
          <w:tcPr>
            <w:tcW w:w="225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100%</w:t>
            </w:r>
          </w:p>
        </w:tc>
        <w:tc>
          <w:tcPr>
            <w:tcW w:w="225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5</w:t>
            </w:r>
          </w:p>
        </w:tc>
      </w:tr>
    </w:tbl>
    <w:p>
      <w:pPr>
        <w:spacing w:line="560" w:lineRule="exact"/>
        <w:ind w:firstLine="708" w:firstLineChars="200"/>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对于项目决策指标分值5分，实际得分5分，该指标得分率100%，说明立项依据充分性、立项程序、绩效目标、绩效指标、预算编制、资金分配合理性。</w:t>
      </w:r>
    </w:p>
    <w:p>
      <w:pPr>
        <w:pStyle w:val="4"/>
        <w:spacing w:before="0" w:after="0"/>
        <w:ind w:firstLine="643"/>
        <w:rPr>
          <w:rFonts w:ascii="楷体" w:hAnsi="楷体" w:eastAsia="楷体" w:cs="楷体"/>
        </w:rPr>
      </w:pPr>
      <w:bookmarkStart w:id="21" w:name="_Toc11959"/>
      <w:r>
        <w:rPr>
          <w:rFonts w:hint="eastAsia" w:ascii="楷体" w:hAnsi="楷体" w:eastAsia="楷体" w:cs="楷体"/>
        </w:rPr>
        <w:t>（二）项目过程情况</w:t>
      </w:r>
      <w:bookmarkEnd w:id="21"/>
    </w:p>
    <w:p>
      <w:pPr>
        <w:spacing w:line="560" w:lineRule="exact"/>
        <w:ind w:firstLine="708" w:firstLineChars="200"/>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依据评分表中项目过程情况描述项目过程指标从资金到位率、预算执行率、资金使用合规性、管理制度健全性、制度执行5个方面对项目的管理情况进行考察，资金到位率分值1分，实际得分1分，得分率100%，预算执行率分值1分，实际得分0.8分，得分率80%，资金使用合规性分值1分，实际得分1分，得分率100%，、管理制度健全性分值1分，实际得分1分，得分率100%，、制度执行分值1分，实际得分1分，得分率100%。项目决策指标得分情况如表所示。</w:t>
      </w:r>
    </w:p>
    <w:p>
      <w:pPr>
        <w:spacing w:line="560" w:lineRule="exact"/>
        <w:ind w:firstLine="3020" w:firstLineChars="850"/>
        <w:rPr>
          <w:rFonts w:ascii="仿宋_GB2312" w:hAnsi="仿宋_GB2312" w:eastAsia="仿宋_GB2312" w:cs="仿宋_GB2312"/>
          <w:b/>
          <w:bCs/>
          <w:spacing w:val="17"/>
          <w:sz w:val="32"/>
          <w:szCs w:val="32"/>
        </w:rPr>
      </w:pPr>
      <w:r>
        <w:rPr>
          <w:rFonts w:hint="eastAsia" w:ascii="仿宋_GB2312" w:hAnsi="仿宋_GB2312" w:eastAsia="仿宋_GB2312" w:cs="仿宋_GB2312"/>
          <w:b/>
          <w:bCs/>
          <w:spacing w:val="17"/>
          <w:sz w:val="32"/>
          <w:szCs w:val="32"/>
        </w:rPr>
        <w:t>项目决策指标得分情况</w:t>
      </w:r>
    </w:p>
    <w:tbl>
      <w:tblPr>
        <w:tblStyle w:val="24"/>
        <w:tblW w:w="8567" w:type="dxa"/>
        <w:tblInd w:w="0" w:type="dxa"/>
        <w:tblLayout w:type="fixed"/>
        <w:tblCellMar>
          <w:top w:w="0" w:type="dxa"/>
          <w:left w:w="0" w:type="dxa"/>
          <w:bottom w:w="0" w:type="dxa"/>
          <w:right w:w="0" w:type="dxa"/>
        </w:tblCellMar>
      </w:tblPr>
      <w:tblGrid>
        <w:gridCol w:w="2424"/>
        <w:gridCol w:w="2016"/>
        <w:gridCol w:w="2016"/>
        <w:gridCol w:w="2111"/>
      </w:tblGrid>
      <w:tr>
        <w:tblPrEx>
          <w:tblCellMar>
            <w:top w:w="0" w:type="dxa"/>
            <w:left w:w="0" w:type="dxa"/>
            <w:bottom w:w="0" w:type="dxa"/>
            <w:right w:w="0" w:type="dxa"/>
          </w:tblCellMar>
        </w:tblPrEx>
        <w:trPr>
          <w:trHeight w:val="450"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b/>
                <w:bCs/>
                <w:sz w:val="32"/>
                <w:szCs w:val="32"/>
              </w:rPr>
            </w:pPr>
            <w:r>
              <w:rPr>
                <w:rFonts w:hint="eastAsia" w:ascii="仿宋_GB2312" w:hAnsi="仿宋_GB2312" w:eastAsia="仿宋_GB2312" w:cs="仿宋_GB2312"/>
                <w:b/>
                <w:bCs/>
                <w:kern w:val="0"/>
                <w:sz w:val="32"/>
                <w:szCs w:val="32"/>
              </w:rPr>
              <w:t>三级指标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b/>
                <w:bCs/>
                <w:sz w:val="32"/>
                <w:szCs w:val="32"/>
              </w:rPr>
            </w:pPr>
            <w:r>
              <w:rPr>
                <w:rFonts w:hint="eastAsia" w:ascii="仿宋_GB2312" w:hAnsi="仿宋_GB2312" w:eastAsia="仿宋_GB2312" w:cs="仿宋_GB2312"/>
                <w:b/>
                <w:bCs/>
                <w:kern w:val="0"/>
                <w:sz w:val="32"/>
                <w:szCs w:val="32"/>
              </w:rPr>
              <w:t>权重</w:t>
            </w:r>
          </w:p>
        </w:tc>
        <w:tc>
          <w:tcPr>
            <w:tcW w:w="20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b/>
                <w:bCs/>
                <w:sz w:val="32"/>
                <w:szCs w:val="32"/>
              </w:rPr>
            </w:pPr>
            <w:r>
              <w:rPr>
                <w:rFonts w:hint="eastAsia" w:ascii="仿宋_GB2312" w:hAnsi="仿宋_GB2312" w:eastAsia="仿宋_GB2312" w:cs="仿宋_GB2312"/>
                <w:b/>
                <w:bCs/>
                <w:kern w:val="0"/>
                <w:sz w:val="32"/>
                <w:szCs w:val="32"/>
              </w:rPr>
              <w:t>得分率</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b/>
                <w:bCs/>
                <w:sz w:val="32"/>
                <w:szCs w:val="32"/>
              </w:rPr>
            </w:pPr>
            <w:r>
              <w:rPr>
                <w:rFonts w:hint="eastAsia" w:ascii="仿宋_GB2312" w:hAnsi="仿宋_GB2312" w:eastAsia="仿宋_GB2312" w:cs="仿宋_GB2312"/>
                <w:b/>
                <w:bCs/>
                <w:kern w:val="0"/>
                <w:sz w:val="32"/>
                <w:szCs w:val="32"/>
              </w:rPr>
              <w:t>实际得分</w:t>
            </w:r>
          </w:p>
        </w:tc>
      </w:tr>
      <w:tr>
        <w:tblPrEx>
          <w:tblCellMar>
            <w:top w:w="0" w:type="dxa"/>
            <w:left w:w="0" w:type="dxa"/>
            <w:bottom w:w="0" w:type="dxa"/>
            <w:right w:w="0" w:type="dxa"/>
          </w:tblCellMar>
        </w:tblPrEx>
        <w:trPr>
          <w:trHeight w:val="36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资金到位率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p>
        </w:tc>
      </w:tr>
      <w:tr>
        <w:tblPrEx>
          <w:tblCellMar>
            <w:top w:w="0" w:type="dxa"/>
            <w:left w:w="0" w:type="dxa"/>
            <w:bottom w:w="0" w:type="dxa"/>
            <w:right w:w="0" w:type="dxa"/>
          </w:tblCellMar>
        </w:tblPrEx>
        <w:trPr>
          <w:trHeight w:val="615"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预算执行率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0.8</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资金使用合规性</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管理制度健全性</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制度执行</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合计</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96%</w:t>
            </w:r>
          </w:p>
        </w:tc>
        <w:tc>
          <w:tcPr>
            <w:tcW w:w="211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4.8</w:t>
            </w:r>
          </w:p>
        </w:tc>
      </w:tr>
    </w:tbl>
    <w:p>
      <w:pPr>
        <w:spacing w:line="560" w:lineRule="exact"/>
        <w:ind w:firstLine="708" w:firstLineChars="200"/>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对于“过程控制”，“工程质量检测工作经费”执行符合业务管理的规定；项目管理、实施人员均落实到位，能按照方案和计划执行；项目无调整，资料齐全；资金使用依据合格，无虚列套取项目支出，无超标准开支，按评分标准，该指标实际得分率96%。</w:t>
      </w:r>
    </w:p>
    <w:p>
      <w:pPr>
        <w:pStyle w:val="4"/>
        <w:spacing w:before="0" w:after="0"/>
        <w:ind w:firstLine="643"/>
        <w:rPr>
          <w:rFonts w:ascii="楷体" w:hAnsi="楷体" w:eastAsia="楷体" w:cs="楷体"/>
        </w:rPr>
      </w:pPr>
      <w:bookmarkStart w:id="22" w:name="_Toc20677"/>
      <w:r>
        <w:rPr>
          <w:rFonts w:hint="eastAsia" w:ascii="楷体" w:hAnsi="楷体" w:eastAsia="楷体" w:cs="楷体"/>
        </w:rPr>
        <w:t>（三）项目产出</w:t>
      </w:r>
      <w:bookmarkEnd w:id="22"/>
    </w:p>
    <w:tbl>
      <w:tblPr>
        <w:tblStyle w:val="24"/>
        <w:tblW w:w="87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8"/>
        <w:gridCol w:w="2042"/>
        <w:gridCol w:w="2041"/>
        <w:gridCol w:w="2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widowControl/>
              <w:spacing w:line="560" w:lineRule="exact"/>
              <w:ind w:firstLine="640" w:firstLineChars="200"/>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三级指标</w:t>
            </w:r>
          </w:p>
        </w:tc>
        <w:tc>
          <w:tcPr>
            <w:tcW w:w="2042" w:type="dxa"/>
            <w:shd w:val="clear" w:color="auto" w:fill="auto"/>
            <w:vAlign w:val="center"/>
          </w:tcPr>
          <w:p>
            <w:pPr>
              <w:widowControl/>
              <w:spacing w:line="560" w:lineRule="exact"/>
              <w:ind w:firstLine="640" w:firstLineChars="200"/>
              <w:jc w:val="left"/>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权重</w:t>
            </w:r>
          </w:p>
        </w:tc>
        <w:tc>
          <w:tcPr>
            <w:tcW w:w="2041" w:type="dxa"/>
            <w:shd w:val="clear" w:color="auto" w:fill="auto"/>
            <w:vAlign w:val="center"/>
          </w:tcPr>
          <w:p>
            <w:pPr>
              <w:widowControl/>
              <w:spacing w:line="560" w:lineRule="exact"/>
              <w:ind w:firstLine="640" w:firstLineChars="200"/>
              <w:jc w:val="left"/>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得分率</w:t>
            </w:r>
          </w:p>
        </w:tc>
        <w:tc>
          <w:tcPr>
            <w:tcW w:w="2042" w:type="dxa"/>
            <w:shd w:val="clear" w:color="auto" w:fill="auto"/>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实际得分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产出数量</w:t>
            </w:r>
          </w:p>
        </w:tc>
        <w:tc>
          <w:tcPr>
            <w:tcW w:w="2042" w:type="dxa"/>
            <w:shd w:val="clear" w:color="auto" w:fill="auto"/>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15</w:t>
            </w:r>
          </w:p>
        </w:tc>
        <w:tc>
          <w:tcPr>
            <w:tcW w:w="2041" w:type="dxa"/>
            <w:shd w:val="clear" w:color="auto" w:fill="auto"/>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96.7%</w:t>
            </w:r>
          </w:p>
        </w:tc>
        <w:tc>
          <w:tcPr>
            <w:tcW w:w="2042" w:type="dxa"/>
            <w:shd w:val="clear" w:color="auto" w:fill="auto"/>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产出质量</w:t>
            </w:r>
          </w:p>
        </w:tc>
        <w:tc>
          <w:tcPr>
            <w:tcW w:w="2042" w:type="dxa"/>
            <w:shd w:val="clear" w:color="auto" w:fill="auto"/>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w:t>
            </w:r>
          </w:p>
        </w:tc>
        <w:tc>
          <w:tcPr>
            <w:tcW w:w="2041" w:type="dxa"/>
            <w:shd w:val="clear" w:color="auto" w:fill="auto"/>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100%</w:t>
            </w:r>
          </w:p>
        </w:tc>
        <w:tc>
          <w:tcPr>
            <w:tcW w:w="2042" w:type="dxa"/>
            <w:shd w:val="clear" w:color="auto" w:fill="auto"/>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产出时效</w:t>
            </w:r>
          </w:p>
        </w:tc>
        <w:tc>
          <w:tcPr>
            <w:tcW w:w="2042" w:type="dxa"/>
            <w:shd w:val="clear" w:color="auto" w:fill="auto"/>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15</w:t>
            </w:r>
          </w:p>
        </w:tc>
        <w:tc>
          <w:tcPr>
            <w:tcW w:w="2041" w:type="dxa"/>
            <w:shd w:val="clear" w:color="auto" w:fill="auto"/>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100%</w:t>
            </w:r>
          </w:p>
        </w:tc>
        <w:tc>
          <w:tcPr>
            <w:tcW w:w="2042" w:type="dxa"/>
            <w:shd w:val="clear" w:color="auto" w:fill="auto"/>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成本情况</w:t>
            </w:r>
          </w:p>
        </w:tc>
        <w:tc>
          <w:tcPr>
            <w:tcW w:w="2042" w:type="dxa"/>
            <w:shd w:val="clear" w:color="auto" w:fill="auto"/>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w:t>
            </w:r>
          </w:p>
        </w:tc>
        <w:tc>
          <w:tcPr>
            <w:tcW w:w="2041" w:type="dxa"/>
            <w:shd w:val="clear" w:color="auto" w:fill="auto"/>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100%</w:t>
            </w:r>
          </w:p>
        </w:tc>
        <w:tc>
          <w:tcPr>
            <w:tcW w:w="2042" w:type="dxa"/>
            <w:shd w:val="clear" w:color="auto" w:fill="auto"/>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合计</w:t>
            </w:r>
          </w:p>
        </w:tc>
        <w:tc>
          <w:tcPr>
            <w:tcW w:w="2042" w:type="dxa"/>
            <w:shd w:val="clear" w:color="auto" w:fill="auto"/>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50</w:t>
            </w:r>
          </w:p>
        </w:tc>
        <w:tc>
          <w:tcPr>
            <w:tcW w:w="2041" w:type="dxa"/>
            <w:shd w:val="clear" w:color="auto" w:fill="auto"/>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99%</w:t>
            </w:r>
          </w:p>
        </w:tc>
        <w:tc>
          <w:tcPr>
            <w:tcW w:w="2042" w:type="dxa"/>
            <w:shd w:val="clear" w:color="auto" w:fill="auto"/>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49.5</w:t>
            </w:r>
          </w:p>
        </w:tc>
      </w:tr>
    </w:tbl>
    <w:p>
      <w:pPr>
        <w:pStyle w:val="4"/>
        <w:spacing w:before="0" w:after="0"/>
        <w:ind w:firstLine="0" w:firstLineChars="0"/>
        <w:rPr>
          <w:rFonts w:ascii="仿宋_GB2312" w:hAnsi="仿宋_GB2312" w:eastAsia="仿宋_GB2312" w:cs="仿宋_GB2312"/>
          <w:b w:val="0"/>
          <w:bCs w:val="0"/>
          <w:iCs w:val="0"/>
          <w:spacing w:val="17"/>
          <w:kern w:val="2"/>
          <w:szCs w:val="32"/>
        </w:rPr>
      </w:pPr>
      <w:bookmarkStart w:id="23" w:name="_Toc28402"/>
      <w:r>
        <w:rPr>
          <w:rFonts w:hint="eastAsia" w:ascii="仿宋_GB2312" w:hAnsi="仿宋_GB2312" w:eastAsia="仿宋_GB2312" w:cs="仿宋_GB2312"/>
          <w:b w:val="0"/>
          <w:bCs w:val="0"/>
          <w:iCs w:val="0"/>
          <w:spacing w:val="17"/>
          <w:kern w:val="2"/>
          <w:szCs w:val="32"/>
        </w:rPr>
        <w:t>对于“产出指标”，又具体分为以下明细指标进行评价，具体见下表：</w:t>
      </w:r>
      <w:bookmarkEnd w:id="23"/>
    </w:p>
    <w:tbl>
      <w:tblPr>
        <w:tblStyle w:val="24"/>
        <w:tblW w:w="8589" w:type="dxa"/>
        <w:tblInd w:w="-96" w:type="dxa"/>
        <w:tblLayout w:type="fixed"/>
        <w:tblCellMar>
          <w:top w:w="0" w:type="dxa"/>
          <w:left w:w="0" w:type="dxa"/>
          <w:bottom w:w="0" w:type="dxa"/>
          <w:right w:w="0" w:type="dxa"/>
        </w:tblCellMar>
      </w:tblPr>
      <w:tblGrid>
        <w:gridCol w:w="3936"/>
        <w:gridCol w:w="1542"/>
        <w:gridCol w:w="1525"/>
        <w:gridCol w:w="1586"/>
      </w:tblGrid>
      <w:tr>
        <w:tblPrEx>
          <w:tblCellMar>
            <w:top w:w="0" w:type="dxa"/>
            <w:left w:w="0" w:type="dxa"/>
            <w:bottom w:w="0" w:type="dxa"/>
            <w:right w:w="0" w:type="dxa"/>
          </w:tblCellMar>
        </w:tblPrEx>
        <w:trPr>
          <w:trHeight w:val="518" w:hRule="atLeast"/>
        </w:trPr>
        <w:tc>
          <w:tcPr>
            <w:tcW w:w="39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jc w:val="center"/>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三级指标明细</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jc w:val="center"/>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权重</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jc w:val="center"/>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得分率</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jc w:val="center"/>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实际得分</w:t>
            </w:r>
          </w:p>
        </w:tc>
      </w:tr>
      <w:tr>
        <w:tblPrEx>
          <w:tblCellMar>
            <w:top w:w="0" w:type="dxa"/>
            <w:left w:w="0" w:type="dxa"/>
            <w:bottom w:w="0" w:type="dxa"/>
            <w:right w:w="0" w:type="dxa"/>
          </w:tblCellMar>
        </w:tblPrEx>
        <w:trPr>
          <w:trHeight w:val="585" w:hRule="atLeast"/>
        </w:trPr>
        <w:tc>
          <w:tcPr>
            <w:tcW w:w="39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水库工程质量检测</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w:t>
            </w:r>
          </w:p>
        </w:tc>
        <w:tc>
          <w:tcPr>
            <w:tcW w:w="15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98%</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4.9</w:t>
            </w:r>
          </w:p>
        </w:tc>
      </w:tr>
      <w:tr>
        <w:tblPrEx>
          <w:tblCellMar>
            <w:top w:w="0" w:type="dxa"/>
            <w:left w:w="0" w:type="dxa"/>
            <w:bottom w:w="0" w:type="dxa"/>
            <w:right w:w="0" w:type="dxa"/>
          </w:tblCellMar>
        </w:tblPrEx>
        <w:trPr>
          <w:trHeight w:val="585" w:hRule="atLeast"/>
        </w:trPr>
        <w:tc>
          <w:tcPr>
            <w:tcW w:w="39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水土保持检测合同</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w:t>
            </w:r>
          </w:p>
        </w:tc>
        <w:tc>
          <w:tcPr>
            <w:tcW w:w="15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100%</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w:t>
            </w:r>
          </w:p>
        </w:tc>
      </w:tr>
      <w:tr>
        <w:tblPrEx>
          <w:tblCellMar>
            <w:top w:w="0" w:type="dxa"/>
            <w:left w:w="0" w:type="dxa"/>
            <w:bottom w:w="0" w:type="dxa"/>
            <w:right w:w="0" w:type="dxa"/>
          </w:tblCellMar>
        </w:tblPrEx>
        <w:trPr>
          <w:trHeight w:val="585" w:hRule="atLeast"/>
        </w:trPr>
        <w:tc>
          <w:tcPr>
            <w:tcW w:w="39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防洪工程质量检测</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w:t>
            </w:r>
          </w:p>
        </w:tc>
        <w:tc>
          <w:tcPr>
            <w:tcW w:w="15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textAlignment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100%</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w:t>
            </w:r>
          </w:p>
        </w:tc>
      </w:tr>
      <w:tr>
        <w:tblPrEx>
          <w:tblCellMar>
            <w:top w:w="0" w:type="dxa"/>
            <w:left w:w="0" w:type="dxa"/>
            <w:bottom w:w="0" w:type="dxa"/>
            <w:right w:w="0" w:type="dxa"/>
          </w:tblCellMar>
        </w:tblPrEx>
        <w:trPr>
          <w:trHeight w:val="585" w:hRule="atLeast"/>
        </w:trPr>
        <w:tc>
          <w:tcPr>
            <w:tcW w:w="39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农田水利工程质量检测</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w:t>
            </w:r>
          </w:p>
        </w:tc>
        <w:tc>
          <w:tcPr>
            <w:tcW w:w="15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92%</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4.6</w:t>
            </w:r>
          </w:p>
        </w:tc>
      </w:tr>
      <w:tr>
        <w:tblPrEx>
          <w:tblCellMar>
            <w:top w:w="0" w:type="dxa"/>
            <w:left w:w="0" w:type="dxa"/>
            <w:bottom w:w="0" w:type="dxa"/>
            <w:right w:w="0" w:type="dxa"/>
          </w:tblCellMar>
        </w:tblPrEx>
        <w:trPr>
          <w:trHeight w:val="585" w:hRule="atLeast"/>
        </w:trPr>
        <w:tc>
          <w:tcPr>
            <w:tcW w:w="39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岩土工程类质量检测</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w:t>
            </w:r>
          </w:p>
        </w:tc>
        <w:tc>
          <w:tcPr>
            <w:tcW w:w="15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100%</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w:t>
            </w:r>
          </w:p>
        </w:tc>
      </w:tr>
      <w:tr>
        <w:tblPrEx>
          <w:tblCellMar>
            <w:top w:w="0" w:type="dxa"/>
            <w:left w:w="0" w:type="dxa"/>
            <w:bottom w:w="0" w:type="dxa"/>
            <w:right w:w="0" w:type="dxa"/>
          </w:tblCellMar>
        </w:tblPrEx>
        <w:trPr>
          <w:trHeight w:val="585" w:hRule="atLeast"/>
        </w:trPr>
        <w:tc>
          <w:tcPr>
            <w:tcW w:w="39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仪器设备检定情况</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w:t>
            </w:r>
          </w:p>
        </w:tc>
        <w:tc>
          <w:tcPr>
            <w:tcW w:w="15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100%</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w:t>
            </w:r>
          </w:p>
        </w:tc>
      </w:tr>
      <w:tr>
        <w:tblPrEx>
          <w:tblCellMar>
            <w:top w:w="0" w:type="dxa"/>
            <w:left w:w="0" w:type="dxa"/>
            <w:bottom w:w="0" w:type="dxa"/>
            <w:right w:w="0" w:type="dxa"/>
          </w:tblCellMar>
        </w:tblPrEx>
        <w:trPr>
          <w:trHeight w:val="585" w:hRule="atLeast"/>
        </w:trPr>
        <w:tc>
          <w:tcPr>
            <w:tcW w:w="39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检测产品合格率</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w:t>
            </w:r>
          </w:p>
        </w:tc>
        <w:tc>
          <w:tcPr>
            <w:tcW w:w="15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100%</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w:t>
            </w:r>
          </w:p>
        </w:tc>
      </w:tr>
      <w:tr>
        <w:tblPrEx>
          <w:tblCellMar>
            <w:top w:w="0" w:type="dxa"/>
            <w:left w:w="0" w:type="dxa"/>
            <w:bottom w:w="0" w:type="dxa"/>
            <w:right w:w="0" w:type="dxa"/>
          </w:tblCellMar>
        </w:tblPrEx>
        <w:trPr>
          <w:trHeight w:val="585" w:hRule="atLeast"/>
        </w:trPr>
        <w:tc>
          <w:tcPr>
            <w:tcW w:w="39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水利工程试验检测任务</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w:t>
            </w:r>
          </w:p>
        </w:tc>
        <w:tc>
          <w:tcPr>
            <w:tcW w:w="15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100%</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w:t>
            </w:r>
          </w:p>
        </w:tc>
      </w:tr>
      <w:tr>
        <w:tblPrEx>
          <w:tblCellMar>
            <w:top w:w="0" w:type="dxa"/>
            <w:left w:w="0" w:type="dxa"/>
            <w:bottom w:w="0" w:type="dxa"/>
            <w:right w:w="0" w:type="dxa"/>
          </w:tblCellMar>
        </w:tblPrEx>
        <w:trPr>
          <w:trHeight w:val="585" w:hRule="atLeast"/>
        </w:trPr>
        <w:tc>
          <w:tcPr>
            <w:tcW w:w="39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水利工程试验检测支出</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w:t>
            </w:r>
          </w:p>
        </w:tc>
        <w:tc>
          <w:tcPr>
            <w:tcW w:w="15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100%</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w:t>
            </w:r>
          </w:p>
        </w:tc>
      </w:tr>
      <w:tr>
        <w:tblPrEx>
          <w:tblCellMar>
            <w:top w:w="0" w:type="dxa"/>
            <w:left w:w="0" w:type="dxa"/>
            <w:bottom w:w="0" w:type="dxa"/>
            <w:right w:w="0" w:type="dxa"/>
          </w:tblCellMar>
        </w:tblPrEx>
        <w:trPr>
          <w:trHeight w:val="585" w:hRule="atLeast"/>
        </w:trPr>
        <w:tc>
          <w:tcPr>
            <w:tcW w:w="39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widowControl/>
              <w:spacing w:line="560" w:lineRule="exact"/>
              <w:ind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合计</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widowControl/>
              <w:spacing w:line="560" w:lineRule="exact"/>
              <w:ind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50</w:t>
            </w:r>
          </w:p>
        </w:tc>
        <w:tc>
          <w:tcPr>
            <w:tcW w:w="15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100%</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49.5</w:t>
            </w:r>
          </w:p>
        </w:tc>
      </w:tr>
    </w:tbl>
    <w:p>
      <w:pPr>
        <w:pStyle w:val="4"/>
        <w:spacing w:before="0" w:after="0"/>
        <w:ind w:firstLine="643"/>
        <w:rPr>
          <w:rFonts w:ascii="仿宋" w:hAnsi="仿宋" w:eastAsia="仿宋" w:cs="仿宋"/>
        </w:rPr>
      </w:pPr>
      <w:bookmarkStart w:id="24" w:name="_Toc11088"/>
      <w:r>
        <w:rPr>
          <w:rFonts w:hint="eastAsia" w:ascii="仿宋" w:hAnsi="仿宋" w:eastAsia="仿宋" w:cs="仿宋"/>
        </w:rPr>
        <w:t>对于“产出数量”</w:t>
      </w:r>
      <w:bookmarkEnd w:id="24"/>
    </w:p>
    <w:p>
      <w:pPr>
        <w:spacing w:line="560" w:lineRule="exact"/>
        <w:ind w:firstLine="708" w:firstLineChars="200"/>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指标1：水库工程质量检测（水泥、粉煤灰、混凝土），预期指标值≥330组，实际完成值322组，指标完成率97.6%；</w:t>
      </w:r>
    </w:p>
    <w:p>
      <w:pPr>
        <w:spacing w:line="560" w:lineRule="exact"/>
        <w:ind w:firstLine="708" w:firstLineChars="200"/>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指标2：水土保持检测合同，预期指标值≥5项，实际完成值5项，指标完成率100%；</w:t>
      </w:r>
    </w:p>
    <w:p>
      <w:pPr>
        <w:spacing w:line="560" w:lineRule="exact"/>
        <w:ind w:firstLine="708" w:firstLineChars="200"/>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指标3：防洪工程质量检测（钢筋、骨料、外加剂），预期指标值≥85组，实际完成值98组，指标完成率115.29%；</w:t>
      </w:r>
    </w:p>
    <w:p>
      <w:pPr>
        <w:spacing w:line="560" w:lineRule="exact"/>
        <w:ind w:firstLine="708" w:firstLineChars="200"/>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指标4：农田水利工程质量检测（抗冻、抗渗、配合比），预期指标值≥25组，实际完成值23组，指标完成率92%；</w:t>
      </w:r>
    </w:p>
    <w:p>
      <w:pPr>
        <w:spacing w:line="560" w:lineRule="exact"/>
        <w:ind w:firstLine="708" w:firstLineChars="200"/>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指标5：岩土工程类质量检测（土工试验、土工合成材料），预期指标值≥502组，实际完成值760组，指标完成率151.39%。</w:t>
      </w:r>
    </w:p>
    <w:p>
      <w:pPr>
        <w:spacing w:line="560" w:lineRule="exact"/>
        <w:ind w:firstLine="708" w:firstLineChars="200"/>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指标6：仪器设备检定,预期指标值≥70台，实际完成值76组，指标完成率108%。</w:t>
      </w:r>
    </w:p>
    <w:p>
      <w:pPr>
        <w:spacing w:line="560" w:lineRule="exact"/>
        <w:ind w:firstLine="711" w:firstLineChars="200"/>
        <w:rPr>
          <w:rFonts w:ascii="仿宋_GB2312" w:hAnsi="仿宋_GB2312" w:eastAsia="仿宋_GB2312" w:cs="仿宋_GB2312"/>
          <w:spacing w:val="17"/>
          <w:sz w:val="32"/>
          <w:szCs w:val="32"/>
        </w:rPr>
      </w:pPr>
      <w:r>
        <w:rPr>
          <w:rFonts w:hint="eastAsia" w:ascii="仿宋_GB2312" w:hAnsi="仿宋_GB2312" w:eastAsia="仿宋_GB2312" w:cs="仿宋_GB2312"/>
          <w:b/>
          <w:bCs/>
          <w:spacing w:val="17"/>
          <w:sz w:val="32"/>
          <w:szCs w:val="32"/>
        </w:rPr>
        <w:t>对于“产出质量”</w:t>
      </w:r>
      <w:r>
        <w:rPr>
          <w:rFonts w:hint="eastAsia" w:ascii="仿宋_GB2312" w:hAnsi="仿宋_GB2312" w:eastAsia="仿宋_GB2312" w:cs="仿宋_GB2312"/>
          <w:spacing w:val="17"/>
          <w:sz w:val="32"/>
          <w:szCs w:val="32"/>
        </w:rPr>
        <w:t>：检测产品合格率，预期指标值≥99%，实际完成值100%，指标完成率100%；</w:t>
      </w:r>
    </w:p>
    <w:p>
      <w:pPr>
        <w:spacing w:line="560" w:lineRule="exact"/>
        <w:ind w:firstLine="711" w:firstLineChars="200"/>
        <w:rPr>
          <w:rFonts w:ascii="仿宋_GB2312" w:hAnsi="仿宋_GB2312" w:eastAsia="仿宋_GB2312" w:cs="仿宋_GB2312"/>
          <w:spacing w:val="17"/>
          <w:sz w:val="32"/>
          <w:szCs w:val="32"/>
        </w:rPr>
      </w:pPr>
      <w:r>
        <w:rPr>
          <w:rFonts w:hint="eastAsia" w:ascii="仿宋_GB2312" w:hAnsi="仿宋_GB2312" w:eastAsia="仿宋_GB2312" w:cs="仿宋_GB2312"/>
          <w:b/>
          <w:bCs/>
          <w:spacing w:val="17"/>
          <w:sz w:val="32"/>
          <w:szCs w:val="32"/>
        </w:rPr>
        <w:t>对于“成本情况”指标：</w:t>
      </w:r>
      <w:r>
        <w:rPr>
          <w:rFonts w:hint="eastAsia" w:ascii="仿宋_GB2312" w:hAnsi="仿宋_GB2312" w:eastAsia="仿宋_GB2312" w:cs="仿宋_GB2312"/>
          <w:spacing w:val="17"/>
          <w:sz w:val="32"/>
          <w:szCs w:val="32"/>
        </w:rPr>
        <w:t>水利工程试验检测成本支出，预期指标值≤83.68万元，实际完成值73.88万元，指标完成率88.29%；</w:t>
      </w:r>
    </w:p>
    <w:p>
      <w:pPr>
        <w:spacing w:line="560" w:lineRule="exact"/>
        <w:ind w:firstLine="711" w:firstLineChars="200"/>
        <w:rPr>
          <w:rFonts w:ascii="楷体_GB2312" w:hAnsi="楷体_GB2312" w:eastAsia="仿宋_GB2312" w:cs="楷体_GB2312"/>
          <w:b/>
          <w:bCs/>
          <w:sz w:val="32"/>
          <w:szCs w:val="32"/>
        </w:rPr>
      </w:pPr>
      <w:r>
        <w:rPr>
          <w:rFonts w:hint="eastAsia" w:ascii="仿宋_GB2312" w:hAnsi="仿宋_GB2312" w:eastAsia="仿宋_GB2312" w:cs="仿宋_GB2312"/>
          <w:b/>
          <w:bCs/>
          <w:spacing w:val="17"/>
          <w:sz w:val="32"/>
          <w:szCs w:val="32"/>
        </w:rPr>
        <w:t>对于“产出时效”指标：</w:t>
      </w:r>
      <w:r>
        <w:rPr>
          <w:rFonts w:hint="eastAsia" w:ascii="仿宋_GB2312" w:hAnsi="仿宋_GB2312" w:eastAsia="仿宋_GB2312" w:cs="仿宋_GB2312"/>
          <w:spacing w:val="17"/>
          <w:sz w:val="32"/>
          <w:szCs w:val="32"/>
        </w:rPr>
        <w:t>水利工程试验检测任务，预期指标值≥5项，实际完成值6项，指标完成率120%。</w:t>
      </w:r>
    </w:p>
    <w:p>
      <w:pPr>
        <w:pStyle w:val="4"/>
        <w:spacing w:before="0" w:after="0"/>
        <w:ind w:firstLine="643"/>
        <w:rPr>
          <w:rFonts w:ascii="楷体" w:hAnsi="楷体" w:eastAsia="楷体" w:cs="楷体"/>
        </w:rPr>
      </w:pPr>
      <w:bookmarkStart w:id="25" w:name="_Toc7492"/>
      <w:r>
        <w:rPr>
          <w:rFonts w:hint="eastAsia" w:ascii="楷体" w:hAnsi="楷体" w:eastAsia="楷体" w:cs="楷体"/>
        </w:rPr>
        <w:t>（四）效益情况</w:t>
      </w:r>
      <w:bookmarkEnd w:id="25"/>
    </w:p>
    <w:p>
      <w:pPr>
        <w:spacing w:line="560" w:lineRule="exact"/>
        <w:ind w:firstLine="708" w:firstLineChars="200"/>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工程质量检测工作经费”项目效益情况从社会效益、可持续影响以及服务对象满意度3个方面对项目的绩效情况进行评价。项目绩效类指标分值40分，实际得分40分，得分率为100%。项目绩效指标得分情况如表所示。</w:t>
      </w:r>
    </w:p>
    <w:tbl>
      <w:tblPr>
        <w:tblStyle w:val="24"/>
        <w:tblW w:w="9036" w:type="dxa"/>
        <w:tblInd w:w="0" w:type="dxa"/>
        <w:tblLayout w:type="fixed"/>
        <w:tblCellMar>
          <w:top w:w="0" w:type="dxa"/>
          <w:left w:w="108" w:type="dxa"/>
          <w:bottom w:w="0" w:type="dxa"/>
          <w:right w:w="108" w:type="dxa"/>
        </w:tblCellMar>
      </w:tblPr>
      <w:tblGrid>
        <w:gridCol w:w="9036"/>
      </w:tblGrid>
      <w:tr>
        <w:tblPrEx>
          <w:tblCellMar>
            <w:top w:w="0" w:type="dxa"/>
            <w:left w:w="108" w:type="dxa"/>
            <w:bottom w:w="0" w:type="dxa"/>
            <w:right w:w="108" w:type="dxa"/>
          </w:tblCellMar>
        </w:tblPrEx>
        <w:trPr>
          <w:trHeight w:val="495" w:hRule="atLeast"/>
          <w:tblHeader/>
        </w:trPr>
        <w:tc>
          <w:tcPr>
            <w:tcW w:w="9036" w:type="dxa"/>
            <w:tcBorders>
              <w:top w:val="nil"/>
              <w:left w:val="nil"/>
              <w:bottom w:val="single" w:color="auto" w:sz="8" w:space="0"/>
              <w:right w:val="nil"/>
            </w:tcBorders>
            <w:shd w:val="clear" w:color="auto" w:fill="auto"/>
            <w:noWrap/>
            <w:vAlign w:val="center"/>
          </w:tcPr>
          <w:tbl>
            <w:tblPr>
              <w:tblStyle w:val="24"/>
              <w:tblpPr w:leftFromText="180" w:rightFromText="180" w:vertAnchor="text" w:horzAnchor="page" w:tblpXSpec="center" w:tblpY="773"/>
              <w:tblOverlap w:val="never"/>
              <w:tblW w:w="8581" w:type="dxa"/>
              <w:jc w:val="center"/>
              <w:tblLayout w:type="fixed"/>
              <w:tblCellMar>
                <w:top w:w="0" w:type="dxa"/>
                <w:left w:w="0" w:type="dxa"/>
                <w:bottom w:w="0" w:type="dxa"/>
                <w:right w:w="0" w:type="dxa"/>
              </w:tblCellMar>
            </w:tblPr>
            <w:tblGrid>
              <w:gridCol w:w="2452"/>
              <w:gridCol w:w="2043"/>
              <w:gridCol w:w="2043"/>
              <w:gridCol w:w="2043"/>
            </w:tblGrid>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三级指标</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权重</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得分率</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实际得分</w:t>
                  </w:r>
                </w:p>
              </w:tc>
            </w:tr>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社会效益</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30</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100%</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30</w:t>
                  </w:r>
                </w:p>
              </w:tc>
            </w:tr>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满意度</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10</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100%</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60" w:lineRule="exact"/>
                    <w:ind w:firstLine="640" w:firstLineChars="200"/>
                    <w:jc w:val="center"/>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10</w:t>
                  </w:r>
                </w:p>
              </w:tc>
            </w:tr>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bottom"/>
                </w:tcPr>
                <w:p>
                  <w:pPr>
                    <w:widowControl/>
                    <w:spacing w:line="560" w:lineRule="exact"/>
                    <w:ind w:firstLine="640" w:firstLineChars="200"/>
                    <w:jc w:val="center"/>
                    <w:textAlignment w:val="bottom"/>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合计</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widowControl/>
                    <w:spacing w:line="560" w:lineRule="exact"/>
                    <w:ind w:firstLine="640" w:firstLineChars="200"/>
                    <w:textAlignment w:val="bottom"/>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40</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60" w:lineRule="exact"/>
                    <w:ind w:firstLine="640" w:firstLineChars="200"/>
                    <w:textAlignment w:val="cente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100%</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widowControl/>
                    <w:spacing w:line="560" w:lineRule="exact"/>
                    <w:ind w:firstLine="640" w:firstLineChars="200"/>
                    <w:jc w:val="center"/>
                    <w:textAlignment w:val="bottom"/>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40</w:t>
                  </w:r>
                </w:p>
              </w:tc>
            </w:tr>
          </w:tbl>
          <w:p>
            <w:pPr>
              <w:widowControl/>
              <w:spacing w:line="560" w:lineRule="exact"/>
              <w:jc w:val="center"/>
              <w:rPr>
                <w:rFonts w:ascii="仿宋_GB2312" w:hAnsi="仿宋_GB2312" w:eastAsia="仿宋_GB2312" w:cs="仿宋_GB2312"/>
                <w:kern w:val="0"/>
                <w:sz w:val="30"/>
                <w:szCs w:val="30"/>
              </w:rPr>
            </w:pPr>
            <w:r>
              <w:rPr>
                <w:rFonts w:hint="eastAsia" w:ascii="仿宋_GB2312" w:hAnsi="仿宋_GB2312" w:eastAsia="仿宋_GB2312" w:cs="仿宋_GB2312"/>
                <w:b/>
                <w:bCs/>
                <w:spacing w:val="17"/>
                <w:sz w:val="40"/>
                <w:szCs w:val="40"/>
              </w:rPr>
              <w:t>项目绩效指标得分情况</w:t>
            </w:r>
          </w:p>
        </w:tc>
      </w:tr>
    </w:tbl>
    <w:p>
      <w:pPr>
        <w:spacing w:line="560" w:lineRule="exact"/>
        <w:ind w:firstLine="708" w:firstLineChars="200"/>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社会效益指标主要表现在可以保证塔城市阿布都拉水库工程、塔城地区额敏县额敏（兵地、辽阳）工业园区供水工程（一期）和塔城地区白杨河引水工程保质保量完成，安全运行，使工程充分发挥自身的经济效益；另一方面，植物措施的林草蓄积量亦具有一定的经济效益。除此之外，水土保持措施减少了空气中的粉尘、灰尘等，减少了施工过程中运行环境的污染，可减少机械设备的维修养护，延长机械设备的寿命，具有间接地经济效益。此外，场区绿化创造了良好的生态环境，有利于施工人员的身心健康，提高劳动生产率。根据指标评分标准，该指标得分率100%，不扣分。</w:t>
      </w:r>
    </w:p>
    <w:p>
      <w:pPr>
        <w:spacing w:line="560" w:lineRule="exact"/>
        <w:ind w:firstLine="708" w:firstLineChars="200"/>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项目区栽植适生的乔、灌、草植被，一方面防治了水土流失，另一方面将显著提高土地生产力，并增加环境容量。工程区水土保持工程措施和植物措施的实施，形成了完整的防护工程体系，保证了主体工程的安全运行。根据指标评分标准，该指标得分率100%，不扣分。</w:t>
      </w:r>
    </w:p>
    <w:p>
      <w:pPr>
        <w:spacing w:line="560" w:lineRule="exact"/>
        <w:ind w:firstLine="708" w:firstLineChars="200"/>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对于“服务对象满意度”指标：客户满意度，预期指标值：≥95分，实际完成值100分，指标完成率100%。</w:t>
      </w:r>
    </w:p>
    <w:p>
      <w:pPr>
        <w:spacing w:line="560" w:lineRule="exact"/>
        <w:ind w:firstLine="708" w:firstLineChars="200"/>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发放的调查问卷，对满意度指标分为三档，即“满意”、“基本满意”、“不满意”；满分为10分，各档次对应的分值为10分、9分、0分，通过加权计算得出各项指标的满意度平均得分。综合问卷调查结果，参观人员的满意度分析结果为10分。根据指标评分标准，该指标实际得分率为100%，该指标不扣分。</w:t>
      </w:r>
    </w:p>
    <w:p>
      <w:pPr>
        <w:spacing w:line="560" w:lineRule="exact"/>
        <w:ind w:firstLine="640" w:firstLineChars="200"/>
        <w:jc w:val="left"/>
        <w:outlineLvl w:val="0"/>
        <w:rPr>
          <w:rFonts w:ascii="黑体" w:hAnsi="黑体" w:eastAsia="黑体" w:cs="黑体"/>
          <w:bCs/>
          <w:kern w:val="0"/>
          <w:sz w:val="32"/>
          <w:szCs w:val="32"/>
        </w:rPr>
      </w:pPr>
      <w:bookmarkStart w:id="26" w:name="_Toc6639"/>
      <w:r>
        <w:rPr>
          <w:rFonts w:hint="eastAsia" w:ascii="黑体" w:hAnsi="黑体" w:eastAsia="黑体" w:cs="黑体"/>
          <w:bCs/>
          <w:kern w:val="0"/>
          <w:sz w:val="32"/>
          <w:szCs w:val="32"/>
        </w:rPr>
        <w:t>五、主要经验及做法、存在的问题及原因分析</w:t>
      </w:r>
      <w:bookmarkEnd w:id="26"/>
    </w:p>
    <w:p>
      <w:pPr>
        <w:pStyle w:val="4"/>
        <w:spacing w:before="0" w:after="0"/>
        <w:ind w:firstLine="640"/>
        <w:rPr>
          <w:b w:val="0"/>
          <w:bCs w:val="0"/>
        </w:rPr>
      </w:pPr>
      <w:bookmarkStart w:id="27" w:name="_Toc5454"/>
      <w:r>
        <w:rPr>
          <w:rFonts w:hint="eastAsia"/>
          <w:b w:val="0"/>
          <w:bCs w:val="0"/>
        </w:rPr>
        <w:t>（一）主要经验及做法</w:t>
      </w:r>
      <w:bookmarkEnd w:id="27"/>
    </w:p>
    <w:p>
      <w:pPr>
        <w:spacing w:line="560" w:lineRule="exact"/>
        <w:ind w:firstLine="708" w:firstLineChars="200"/>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塔城地区水利水电科学研究所2020年预算安排“工程质量检测工作经费”资金83.68万元，实际支出73.88万元，其中：其他工资福利支出20.84万元，商品服务支出43.98万元，其他资本性支出9.06万元，预算执行率88.28%，实际支出与申报的绩效目标总的对比完成进度较好，完成率没有达到预期目标。</w:t>
      </w:r>
    </w:p>
    <w:p>
      <w:pPr>
        <w:spacing w:line="560" w:lineRule="exact"/>
        <w:ind w:firstLine="708" w:firstLineChars="200"/>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为确保“工程质量检测工作经费”项目顺利进行，提前做好“工程质量检测工作经费”项目规划，将所列计划再三审核。在“工程质量检测工作经费”项目实施过程中做好定期监督检查，严格按照项目管理规范进行，在“工程质量检测工作经费”项目资金使用过程中，严格落实把关，按照项目资金使用范围做好审核工作，让项目资金落于实处。在“工程质量检测工作经费”项目完成后，做好受益群众民意调查及项目防范工作。</w:t>
      </w:r>
    </w:p>
    <w:p>
      <w:pPr>
        <w:spacing w:line="560" w:lineRule="exact"/>
        <w:ind w:firstLine="708" w:firstLineChars="200"/>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Style w:val="4"/>
        <w:numPr>
          <w:ilvl w:val="0"/>
          <w:numId w:val="1"/>
        </w:numPr>
        <w:spacing w:before="0" w:after="0"/>
        <w:ind w:firstLine="643"/>
        <w:rPr>
          <w:rFonts w:ascii="楷体" w:hAnsi="楷体" w:eastAsia="楷体" w:cs="楷体"/>
        </w:rPr>
      </w:pPr>
      <w:bookmarkStart w:id="28" w:name="_Toc21570"/>
      <w:r>
        <w:rPr>
          <w:rFonts w:hint="eastAsia" w:ascii="楷体" w:hAnsi="楷体" w:eastAsia="楷体" w:cs="楷体"/>
        </w:rPr>
        <w:t>存在的问题及原因分析</w:t>
      </w:r>
      <w:bookmarkEnd w:id="28"/>
    </w:p>
    <w:p>
      <w:pPr>
        <w:pStyle w:val="5"/>
        <w:spacing w:before="0" w:after="0"/>
        <w:ind w:firstLine="643"/>
        <w:rPr>
          <w:rFonts w:ascii="仿宋_GB2312" w:hAnsi="仿宋_GB2312" w:eastAsia="仿宋_GB2312" w:cs="仿宋_GB2312"/>
        </w:rPr>
      </w:pPr>
      <w:bookmarkStart w:id="29" w:name="_Toc13473"/>
      <w:r>
        <w:rPr>
          <w:rFonts w:hint="eastAsia" w:ascii="仿宋_GB2312" w:hAnsi="仿宋_GB2312" w:eastAsia="仿宋_GB2312" w:cs="仿宋_GB2312"/>
        </w:rPr>
        <w:t>1.存在的问题</w:t>
      </w:r>
      <w:bookmarkEnd w:id="29"/>
    </w:p>
    <w:p>
      <w:pPr>
        <w:spacing w:line="560" w:lineRule="exact"/>
        <w:ind w:firstLine="708" w:firstLineChars="200"/>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部分绩效指标及目标有待进一步细化和量化。</w:t>
      </w:r>
    </w:p>
    <w:p>
      <w:pPr>
        <w:pStyle w:val="5"/>
        <w:spacing w:before="0" w:after="0"/>
        <w:ind w:firstLine="643"/>
        <w:rPr>
          <w:rFonts w:ascii="仿宋_GB2312" w:hAnsi="仿宋_GB2312" w:eastAsia="仿宋_GB2312" w:cs="仿宋_GB2312"/>
        </w:rPr>
      </w:pPr>
      <w:bookmarkStart w:id="30" w:name="_Toc27265"/>
      <w:r>
        <w:rPr>
          <w:rFonts w:hint="eastAsia" w:ascii="仿宋_GB2312" w:hAnsi="仿宋_GB2312" w:eastAsia="仿宋_GB2312" w:cs="仿宋_GB2312"/>
        </w:rPr>
        <w:t>2.原因分析</w:t>
      </w:r>
      <w:bookmarkEnd w:id="30"/>
    </w:p>
    <w:p>
      <w:pPr>
        <w:spacing w:line="560" w:lineRule="exact"/>
        <w:ind w:firstLine="708" w:firstLineChars="200"/>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由于绩效自评是一项开展不久的工作任务，项目支出运行实践经验还欠缺。</w:t>
      </w:r>
    </w:p>
    <w:p>
      <w:pPr>
        <w:spacing w:line="560" w:lineRule="exact"/>
        <w:ind w:firstLine="640" w:firstLineChars="200"/>
        <w:jc w:val="left"/>
        <w:outlineLvl w:val="0"/>
        <w:rPr>
          <w:rFonts w:ascii="黑体" w:hAnsi="黑体" w:eastAsia="黑体" w:cs="黑体"/>
          <w:bCs/>
          <w:kern w:val="0"/>
          <w:sz w:val="32"/>
          <w:szCs w:val="32"/>
        </w:rPr>
      </w:pPr>
      <w:bookmarkStart w:id="31" w:name="_Toc30684"/>
      <w:r>
        <w:rPr>
          <w:rFonts w:hint="eastAsia" w:ascii="黑体" w:hAnsi="黑体" w:eastAsia="黑体" w:cs="黑体"/>
          <w:bCs/>
          <w:kern w:val="0"/>
          <w:sz w:val="32"/>
          <w:szCs w:val="32"/>
        </w:rPr>
        <w:t>六、有关建议</w:t>
      </w:r>
      <w:bookmarkEnd w:id="31"/>
    </w:p>
    <w:p>
      <w:pPr>
        <w:spacing w:line="560" w:lineRule="exact"/>
        <w:ind w:firstLine="708" w:firstLineChars="200"/>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1.加大项目绩效管理培训力度，贯彻落实相关办法及制度。</w:t>
      </w:r>
    </w:p>
    <w:p>
      <w:pPr>
        <w:spacing w:line="560" w:lineRule="exact"/>
        <w:ind w:firstLine="708" w:firstLineChars="200"/>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2.严格执行预算，合理使用资金。预算执行过程中，规范工作程序，尤其是专项资金，力保数据的准确性和真实性，控制预算完成率。</w:t>
      </w:r>
    </w:p>
    <w:p>
      <w:pPr>
        <w:spacing w:line="560" w:lineRule="exact"/>
        <w:ind w:firstLine="708" w:firstLineChars="200"/>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2.加强队伍建设，抓好绩效评价管理部门的队伍建设和业务指导，培养部门的绩效管理队伍，建立绩效评价的长期机制。</w:t>
      </w:r>
    </w:p>
    <w:p>
      <w:pPr>
        <w:spacing w:line="560" w:lineRule="exact"/>
        <w:ind w:firstLine="640" w:firstLineChars="200"/>
        <w:jc w:val="left"/>
        <w:outlineLvl w:val="0"/>
        <w:rPr>
          <w:rFonts w:ascii="黑体" w:hAnsi="黑体" w:eastAsia="黑体" w:cs="黑体"/>
          <w:bCs/>
          <w:kern w:val="0"/>
          <w:sz w:val="32"/>
          <w:szCs w:val="32"/>
        </w:rPr>
      </w:pPr>
      <w:bookmarkStart w:id="32" w:name="_Toc26377"/>
      <w:r>
        <w:rPr>
          <w:rFonts w:hint="eastAsia" w:ascii="黑体" w:hAnsi="黑体" w:eastAsia="黑体" w:cs="黑体"/>
          <w:bCs/>
          <w:kern w:val="0"/>
          <w:sz w:val="32"/>
          <w:szCs w:val="32"/>
        </w:rPr>
        <w:t>七、其他需要说</w:t>
      </w:r>
      <w:bookmarkStart w:id="33" w:name="page8"/>
      <w:bookmarkEnd w:id="33"/>
      <w:r>
        <w:rPr>
          <w:rFonts w:hint="eastAsia" w:ascii="黑体" w:hAnsi="黑体" w:eastAsia="黑体" w:cs="黑体"/>
          <w:bCs/>
          <w:kern w:val="0"/>
          <w:sz w:val="32"/>
          <w:szCs w:val="32"/>
        </w:rPr>
        <w:t>明的问题</w:t>
      </w:r>
      <w:bookmarkEnd w:id="32"/>
    </w:p>
    <w:p>
      <w:pPr>
        <w:spacing w:line="560" w:lineRule="exact"/>
        <w:ind w:firstLine="708" w:firstLineChars="200"/>
        <w:rPr>
          <w:rFonts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无</w:t>
      </w:r>
    </w:p>
    <w:p>
      <w:pPr>
        <w:pStyle w:val="23"/>
        <w:spacing w:after="0" w:line="560" w:lineRule="exact"/>
        <w:ind w:firstLine="708"/>
        <w:rPr>
          <w:rFonts w:ascii="仿宋_GB2312" w:hAnsi="仿宋_GB2312" w:eastAsia="仿宋_GB2312" w:cs="仿宋_GB2312"/>
          <w:color w:val="auto"/>
          <w:spacing w:val="17"/>
          <w:sz w:val="32"/>
          <w:szCs w:val="32"/>
        </w:rPr>
      </w:pPr>
    </w:p>
    <w:p>
      <w:pPr>
        <w:pStyle w:val="23"/>
        <w:spacing w:after="0" w:line="560" w:lineRule="exact"/>
        <w:ind w:firstLine="708"/>
        <w:rPr>
          <w:rFonts w:ascii="仿宋_GB2312" w:hAnsi="仿宋_GB2312" w:eastAsia="仿宋_GB2312" w:cs="仿宋_GB2312"/>
          <w:color w:val="auto"/>
          <w:spacing w:val="17"/>
          <w:sz w:val="32"/>
          <w:szCs w:val="32"/>
        </w:rPr>
      </w:pPr>
    </w:p>
    <w:p>
      <w:pPr>
        <w:pStyle w:val="23"/>
        <w:spacing w:after="0" w:line="560" w:lineRule="exact"/>
        <w:ind w:firstLine="708"/>
        <w:rPr>
          <w:rFonts w:ascii="仿宋_GB2312" w:hAnsi="仿宋_GB2312" w:eastAsia="仿宋_GB2312" w:cs="仿宋_GB2312"/>
          <w:color w:val="auto"/>
          <w:spacing w:val="17"/>
          <w:sz w:val="32"/>
          <w:szCs w:val="32"/>
        </w:rPr>
      </w:pPr>
    </w:p>
    <w:p>
      <w:pPr>
        <w:pStyle w:val="23"/>
        <w:spacing w:after="0" w:line="560" w:lineRule="exact"/>
        <w:ind w:firstLine="708"/>
        <w:rPr>
          <w:rFonts w:ascii="仿宋_GB2312" w:hAnsi="仿宋_GB2312" w:eastAsia="仿宋_GB2312" w:cs="仿宋_GB2312"/>
          <w:color w:val="auto"/>
          <w:spacing w:val="17"/>
          <w:sz w:val="32"/>
          <w:szCs w:val="32"/>
        </w:rPr>
      </w:pPr>
    </w:p>
    <w:tbl>
      <w:tblPr>
        <w:tblStyle w:val="24"/>
        <w:tblW w:w="9465" w:type="dxa"/>
        <w:tblInd w:w="0" w:type="dxa"/>
        <w:tblLayout w:type="fixed"/>
        <w:tblCellMar>
          <w:top w:w="0" w:type="dxa"/>
          <w:left w:w="0" w:type="dxa"/>
          <w:bottom w:w="0" w:type="dxa"/>
          <w:right w:w="0" w:type="dxa"/>
        </w:tblCellMar>
      </w:tblPr>
      <w:tblGrid>
        <w:gridCol w:w="840"/>
        <w:gridCol w:w="840"/>
        <w:gridCol w:w="840"/>
        <w:gridCol w:w="840"/>
        <w:gridCol w:w="840"/>
        <w:gridCol w:w="840"/>
        <w:gridCol w:w="840"/>
        <w:gridCol w:w="2070"/>
        <w:gridCol w:w="1515"/>
      </w:tblGrid>
      <w:tr>
        <w:tblPrEx>
          <w:tblCellMar>
            <w:top w:w="0" w:type="dxa"/>
            <w:left w:w="0" w:type="dxa"/>
            <w:bottom w:w="0" w:type="dxa"/>
            <w:right w:w="0" w:type="dxa"/>
          </w:tblCellMar>
        </w:tblPrEx>
        <w:trPr>
          <w:trHeight w:val="409" w:hRule="atLeast"/>
        </w:trPr>
        <w:tc>
          <w:tcPr>
            <w:tcW w:w="9465" w:type="dxa"/>
            <w:gridSpan w:val="9"/>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sz w:val="32"/>
                <w:szCs w:val="32"/>
              </w:rPr>
            </w:pPr>
            <w:r>
              <w:rPr>
                <w:rFonts w:hint="eastAsia" w:ascii="宋体" w:hAnsi="宋体" w:cs="宋体"/>
                <w:b/>
                <w:kern w:val="0"/>
                <w:sz w:val="32"/>
                <w:szCs w:val="32"/>
                <w:lang w:bidi="ar"/>
              </w:rPr>
              <w:t>项目支出绩效自评表</w:t>
            </w:r>
          </w:p>
        </w:tc>
      </w:tr>
      <w:tr>
        <w:tblPrEx>
          <w:tblCellMar>
            <w:top w:w="0" w:type="dxa"/>
            <w:left w:w="0" w:type="dxa"/>
            <w:bottom w:w="0" w:type="dxa"/>
            <w:right w:w="0" w:type="dxa"/>
          </w:tblCellMar>
        </w:tblPrEx>
        <w:trPr>
          <w:trHeight w:val="409" w:hRule="atLeast"/>
        </w:trPr>
        <w:tc>
          <w:tcPr>
            <w:tcW w:w="9465" w:type="dxa"/>
            <w:gridSpan w:val="9"/>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sz w:val="32"/>
                <w:szCs w:val="32"/>
              </w:rPr>
            </w:pPr>
            <w:r>
              <w:rPr>
                <w:rFonts w:hint="eastAsia" w:ascii="宋体" w:hAnsi="宋体" w:cs="宋体"/>
                <w:kern w:val="0"/>
                <w:sz w:val="32"/>
                <w:szCs w:val="32"/>
                <w:lang w:bidi="ar"/>
              </w:rPr>
              <w:t>（   2020 年度）</w:t>
            </w:r>
          </w:p>
        </w:tc>
      </w:tr>
      <w:tr>
        <w:tblPrEx>
          <w:tblCellMar>
            <w:top w:w="0" w:type="dxa"/>
            <w:left w:w="0" w:type="dxa"/>
            <w:bottom w:w="0" w:type="dxa"/>
            <w:right w:w="0" w:type="dxa"/>
          </w:tblCellMar>
        </w:tblPrEx>
        <w:trPr>
          <w:trHeight w:val="270" w:hRule="atLeast"/>
        </w:trPr>
        <w:tc>
          <w:tcPr>
            <w:tcW w:w="9465" w:type="dxa"/>
            <w:gridSpan w:val="9"/>
            <w:tcBorders>
              <w:top w:val="nil"/>
              <w:left w:val="nil"/>
              <w:bottom w:val="nil"/>
              <w:right w:val="nil"/>
            </w:tcBorders>
            <w:shd w:val="clear" w:color="auto" w:fill="auto"/>
            <w:tcMar>
              <w:top w:w="15" w:type="dxa"/>
              <w:left w:w="15" w:type="dxa"/>
              <w:right w:w="15" w:type="dxa"/>
            </w:tcMar>
            <w:vAlign w:val="center"/>
          </w:tcPr>
          <w:p>
            <w:pPr>
              <w:jc w:val="center"/>
              <w:rPr>
                <w:rFonts w:ascii="宋体" w:hAnsi="宋体" w:cs="宋体"/>
                <w:sz w:val="22"/>
                <w:szCs w:val="22"/>
              </w:rPr>
            </w:pPr>
          </w:p>
        </w:tc>
      </w:tr>
      <w:tr>
        <w:tblPrEx>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项目名称</w:t>
            </w:r>
          </w:p>
        </w:tc>
        <w:tc>
          <w:tcPr>
            <w:tcW w:w="778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工程质量检测工作经费</w:t>
            </w:r>
          </w:p>
        </w:tc>
      </w:tr>
      <w:tr>
        <w:tblPrEx>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主管部门</w:t>
            </w:r>
          </w:p>
        </w:tc>
        <w:tc>
          <w:tcPr>
            <w:tcW w:w="420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实施单位</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塔城地区水利水电科学研究所</w:t>
            </w:r>
          </w:p>
        </w:tc>
      </w:tr>
      <w:tr>
        <w:tblPrEx>
          <w:tblCellMar>
            <w:top w:w="0" w:type="dxa"/>
            <w:left w:w="0" w:type="dxa"/>
            <w:bottom w:w="0" w:type="dxa"/>
            <w:right w:w="0" w:type="dxa"/>
          </w:tblCellMar>
        </w:tblPrEx>
        <w:trPr>
          <w:trHeight w:val="392"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项目资金</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ascii="Arial" w:hAnsi="Arial" w:cs="Arial"/>
                <w:sz w:val="20"/>
                <w:szCs w:val="20"/>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年初预算数</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全年预算数</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全年执行数</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执行率</w:t>
            </w:r>
          </w:p>
        </w:tc>
      </w:tr>
      <w:tr>
        <w:tblPrEx>
          <w:tblCellMar>
            <w:top w:w="0" w:type="dxa"/>
            <w:left w:w="0" w:type="dxa"/>
            <w:bottom w:w="0" w:type="dxa"/>
            <w:right w:w="0" w:type="dxa"/>
          </w:tblCellMar>
        </w:tblPrEx>
        <w:trPr>
          <w:trHeight w:val="392" w:hRule="atLeast"/>
        </w:trPr>
        <w:tc>
          <w:tcPr>
            <w:tcW w:w="16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（万元）</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年度资金总额</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83.68</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73.88</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73.88</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88.30%</w:t>
            </w:r>
          </w:p>
        </w:tc>
      </w:tr>
      <w:tr>
        <w:tblPrEx>
          <w:tblCellMar>
            <w:top w:w="0" w:type="dxa"/>
            <w:left w:w="0" w:type="dxa"/>
            <w:bottom w:w="0" w:type="dxa"/>
            <w:right w:w="0" w:type="dxa"/>
          </w:tblCellMar>
        </w:tblPrEx>
        <w:trPr>
          <w:trHeight w:val="392"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其中：当年财政拨款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83.68</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73.88</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73.88</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w:t>
            </w:r>
          </w:p>
        </w:tc>
      </w:tr>
      <w:tr>
        <w:tblPrEx>
          <w:tblCellMar>
            <w:top w:w="0" w:type="dxa"/>
            <w:left w:w="0" w:type="dxa"/>
            <w:bottom w:w="0" w:type="dxa"/>
            <w:right w:w="0" w:type="dxa"/>
          </w:tblCellMar>
        </w:tblPrEx>
        <w:trPr>
          <w:trHeight w:val="433"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 xml:space="preserve">      上年结转资金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0</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0</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w:t>
            </w:r>
          </w:p>
        </w:tc>
      </w:tr>
      <w:tr>
        <w:tblPrEx>
          <w:tblCellMar>
            <w:top w:w="0" w:type="dxa"/>
            <w:left w:w="0" w:type="dxa"/>
            <w:bottom w:w="0" w:type="dxa"/>
            <w:right w:w="0" w:type="dxa"/>
          </w:tblCellMar>
        </w:tblPrEx>
        <w:trPr>
          <w:trHeight w:val="270"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 xml:space="preserve">  其他资金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0</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0</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w:t>
            </w:r>
          </w:p>
        </w:tc>
      </w:tr>
      <w:tr>
        <w:tblPrEx>
          <w:tblCellMar>
            <w:top w:w="0" w:type="dxa"/>
            <w:left w:w="0" w:type="dxa"/>
            <w:bottom w:w="0" w:type="dxa"/>
            <w:right w:w="0" w:type="dxa"/>
          </w:tblCellMar>
        </w:tblPrEx>
        <w:trPr>
          <w:trHeight w:val="433"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年度总体目标</w:t>
            </w: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预期目标</w:t>
            </w:r>
          </w:p>
        </w:tc>
        <w:tc>
          <w:tcPr>
            <w:tcW w:w="3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实际完成情况</w:t>
            </w:r>
          </w:p>
        </w:tc>
      </w:tr>
      <w:tr>
        <w:tblPrEx>
          <w:tblCellMar>
            <w:top w:w="0" w:type="dxa"/>
            <w:left w:w="0" w:type="dxa"/>
            <w:bottom w:w="0" w:type="dxa"/>
            <w:right w:w="0" w:type="dxa"/>
          </w:tblCellMar>
        </w:tblPrEx>
        <w:trPr>
          <w:trHeight w:val="27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 xml:space="preserve"> （1）、组织检验检测设备鉴定、校准工作。</w:t>
            </w:r>
            <w:r>
              <w:rPr>
                <w:rFonts w:hint="eastAsia" w:ascii="宋体" w:hAnsi="宋体" w:cs="宋体"/>
                <w:kern w:val="0"/>
                <w:sz w:val="18"/>
                <w:szCs w:val="18"/>
                <w:lang w:bidi="ar"/>
              </w:rPr>
              <w:br w:type="textWrapping"/>
            </w:r>
            <w:r>
              <w:rPr>
                <w:rFonts w:hint="eastAsia" w:ascii="宋体" w:hAnsi="宋体" w:cs="宋体"/>
                <w:kern w:val="0"/>
                <w:sz w:val="18"/>
                <w:szCs w:val="18"/>
                <w:lang w:bidi="ar"/>
              </w:rPr>
              <w:t>（2）、组织开展塔城市阿布都拉水库工程、额敏县（兵地、辽宁）工业园区供水（一期）、白杨河引水工程修复工程的质量检测工作。</w:t>
            </w:r>
            <w:r>
              <w:rPr>
                <w:rFonts w:hint="eastAsia" w:ascii="宋体" w:hAnsi="宋体" w:cs="宋体"/>
                <w:kern w:val="0"/>
                <w:sz w:val="18"/>
                <w:szCs w:val="18"/>
                <w:lang w:bidi="ar"/>
              </w:rPr>
              <w:br w:type="textWrapping"/>
            </w:r>
            <w:r>
              <w:rPr>
                <w:rFonts w:hint="eastAsia" w:ascii="宋体" w:hAnsi="宋体" w:cs="宋体"/>
                <w:kern w:val="0"/>
                <w:sz w:val="18"/>
                <w:szCs w:val="18"/>
                <w:lang w:bidi="ar"/>
              </w:rPr>
              <w:t>（3）、组织地区各县市水利工程质量检测工作，</w:t>
            </w:r>
            <w:r>
              <w:rPr>
                <w:rFonts w:hint="eastAsia" w:ascii="宋体" w:hAnsi="宋体" w:cs="宋体"/>
                <w:kern w:val="0"/>
                <w:sz w:val="18"/>
                <w:szCs w:val="18"/>
                <w:lang w:bidi="ar"/>
              </w:rPr>
              <w:br w:type="textWrapping"/>
            </w:r>
            <w:r>
              <w:rPr>
                <w:rFonts w:hint="eastAsia" w:ascii="宋体" w:hAnsi="宋体" w:cs="宋体"/>
                <w:kern w:val="0"/>
                <w:sz w:val="18"/>
                <w:szCs w:val="18"/>
                <w:lang w:bidi="ar"/>
              </w:rPr>
              <w:t>（4）、组织开展水土保持检测工作。塔城地区水利水电科学研究所2020年项目计划支出83.68万元。</w:t>
            </w:r>
          </w:p>
        </w:tc>
        <w:tc>
          <w:tcPr>
            <w:tcW w:w="3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 xml:space="preserve"> （1）、组织检验检测设备鉴定、校准工作。</w:t>
            </w:r>
            <w:r>
              <w:rPr>
                <w:rFonts w:hint="eastAsia" w:ascii="宋体" w:hAnsi="宋体" w:cs="宋体"/>
                <w:kern w:val="0"/>
                <w:sz w:val="18"/>
                <w:szCs w:val="18"/>
                <w:lang w:bidi="ar"/>
              </w:rPr>
              <w:br w:type="textWrapping"/>
            </w:r>
            <w:r>
              <w:rPr>
                <w:rFonts w:hint="eastAsia" w:ascii="宋体" w:hAnsi="宋体" w:cs="宋体"/>
                <w:kern w:val="0"/>
                <w:sz w:val="18"/>
                <w:szCs w:val="18"/>
                <w:lang w:bidi="ar"/>
              </w:rPr>
              <w:t>（2）、组织开展塔城市阿布都拉水库工程、额敏县（兵地、辽宁）工业园区供水（一期）、白杨河引水工程修复工程的质量检测工作。</w:t>
            </w:r>
            <w:r>
              <w:rPr>
                <w:rFonts w:hint="eastAsia" w:ascii="宋体" w:hAnsi="宋体" w:cs="宋体"/>
                <w:kern w:val="0"/>
                <w:sz w:val="18"/>
                <w:szCs w:val="18"/>
                <w:lang w:bidi="ar"/>
              </w:rPr>
              <w:br w:type="textWrapping"/>
            </w:r>
            <w:r>
              <w:rPr>
                <w:rFonts w:hint="eastAsia" w:ascii="宋体" w:hAnsi="宋体" w:cs="宋体"/>
                <w:kern w:val="0"/>
                <w:sz w:val="18"/>
                <w:szCs w:val="18"/>
                <w:lang w:bidi="ar"/>
              </w:rPr>
              <w:t>（3）、组织地区各县市水利工程质量检测工作，</w:t>
            </w:r>
            <w:r>
              <w:rPr>
                <w:rFonts w:hint="eastAsia" w:ascii="宋体" w:hAnsi="宋体" w:cs="宋体"/>
                <w:kern w:val="0"/>
                <w:sz w:val="18"/>
                <w:szCs w:val="18"/>
                <w:lang w:bidi="ar"/>
              </w:rPr>
              <w:br w:type="textWrapping"/>
            </w:r>
            <w:r>
              <w:rPr>
                <w:rFonts w:hint="eastAsia" w:ascii="宋体" w:hAnsi="宋体" w:cs="宋体"/>
                <w:kern w:val="0"/>
                <w:sz w:val="18"/>
                <w:szCs w:val="18"/>
                <w:lang w:bidi="ar"/>
              </w:rPr>
              <w:t>（4）、组织开展水土保持检测工作。塔城地区水利水电科学研究所2020年项目计划支出83.68万元。</w:t>
            </w:r>
          </w:p>
        </w:tc>
      </w:tr>
      <w:tr>
        <w:tblPrEx>
          <w:tblCellMar>
            <w:top w:w="0" w:type="dxa"/>
            <w:left w:w="0" w:type="dxa"/>
            <w:bottom w:w="0" w:type="dxa"/>
            <w:right w:w="0" w:type="dxa"/>
          </w:tblCellMar>
        </w:tblPrEx>
        <w:trPr>
          <w:trHeight w:val="412"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一级指标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二级指标</w:t>
            </w:r>
          </w:p>
        </w:tc>
        <w:tc>
          <w:tcPr>
            <w:tcW w:w="25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三级指标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年度指标值</w:t>
            </w:r>
          </w:p>
        </w:tc>
        <w:tc>
          <w:tcPr>
            <w:tcW w:w="20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实际完成值</w:t>
            </w:r>
          </w:p>
        </w:tc>
        <w:tc>
          <w:tcPr>
            <w:tcW w:w="15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偏差原因分析及改进措施</w:t>
            </w:r>
          </w:p>
        </w:tc>
      </w:tr>
      <w:tr>
        <w:tblPrEx>
          <w:tblCellMar>
            <w:top w:w="0" w:type="dxa"/>
            <w:left w:w="0" w:type="dxa"/>
            <w:bottom w:w="0" w:type="dxa"/>
            <w:right w:w="0" w:type="dxa"/>
          </w:tblCellMar>
        </w:tblPrEx>
        <w:trPr>
          <w:trHeight w:val="31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25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15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r>
      <w:tr>
        <w:tblPrEx>
          <w:tblCellMar>
            <w:top w:w="0" w:type="dxa"/>
            <w:left w:w="0" w:type="dxa"/>
            <w:bottom w:w="0" w:type="dxa"/>
            <w:right w:w="0" w:type="dxa"/>
          </w:tblCellMar>
        </w:tblPrEx>
        <w:trPr>
          <w:trHeight w:val="1165"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年度绩效指标完成情况</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产出指标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数量指标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混凝土工程类质量检测</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≥330组</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322组</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eastAsia="zh-CN" w:bidi="ar"/>
              </w:rPr>
              <w:t>不可抗力因素</w:t>
            </w:r>
            <w:r>
              <w:rPr>
                <w:rFonts w:hint="eastAsia" w:ascii="宋体" w:hAnsi="宋体" w:cs="宋体"/>
                <w:kern w:val="0"/>
                <w:sz w:val="18"/>
                <w:szCs w:val="18"/>
                <w:lang w:bidi="ar"/>
              </w:rPr>
              <w:t>影响工程进度</w:t>
            </w:r>
          </w:p>
        </w:tc>
      </w:tr>
      <w:tr>
        <w:tblPrEx>
          <w:tblCellMar>
            <w:top w:w="0" w:type="dxa"/>
            <w:left w:w="0" w:type="dxa"/>
            <w:bottom w:w="0" w:type="dxa"/>
            <w:right w:w="0" w:type="dxa"/>
          </w:tblCellMar>
        </w:tblPrEx>
        <w:trPr>
          <w:trHeight w:val="72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水利工程质量检测与水土保持监测合同</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≥5项</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5项</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r>
      <w:tr>
        <w:tblPrEx>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防洪工程质量检测</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≥85组</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98组</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受施工方要求增加取样</w:t>
            </w:r>
          </w:p>
        </w:tc>
      </w:tr>
      <w:tr>
        <w:tblPrEx>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农田水利工程质量检</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≥25组</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23组</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r>
      <w:tr>
        <w:tblPrEx>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岩土工程类质量检测</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≥502组</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760个</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受施工方单位工程变更影响</w:t>
            </w:r>
          </w:p>
        </w:tc>
      </w:tr>
      <w:tr>
        <w:tblPrEx>
          <w:tblCellMar>
            <w:top w:w="0" w:type="dxa"/>
            <w:left w:w="0" w:type="dxa"/>
            <w:bottom w:w="0" w:type="dxa"/>
            <w:right w:w="0" w:type="dxa"/>
          </w:tblCellMar>
        </w:tblPrEx>
        <w:trPr>
          <w:trHeight w:val="58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仪器设备检定</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≥70台</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76台</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r>
      <w:tr>
        <w:tblPrEx>
          <w:tblCellMar>
            <w:top w:w="0" w:type="dxa"/>
            <w:left w:w="0" w:type="dxa"/>
            <w:bottom w:w="0" w:type="dxa"/>
            <w:right w:w="0" w:type="dxa"/>
          </w:tblCellMar>
        </w:tblPrEx>
        <w:trPr>
          <w:trHeight w:val="5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质量指标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检测产品合格率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≥99%</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100%</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r>
      <w:tr>
        <w:tblPrEx>
          <w:tblCellMar>
            <w:top w:w="0" w:type="dxa"/>
            <w:left w:w="0" w:type="dxa"/>
            <w:bottom w:w="0" w:type="dxa"/>
            <w:right w:w="0" w:type="dxa"/>
          </w:tblCellMar>
        </w:tblPrEx>
        <w:trPr>
          <w:trHeight w:val="62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时效指标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水利工程试验检测任务</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≥5项</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6项</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r>
      <w:tr>
        <w:tblPrEx>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成本指标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水利工程试验检测支出成本</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≤83.68万元</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73.88万元</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eastAsia="zh-CN" w:bidi="ar"/>
              </w:rPr>
              <w:t>不可抗力因素</w:t>
            </w:r>
            <w:r>
              <w:rPr>
                <w:rFonts w:hint="eastAsia" w:ascii="宋体" w:hAnsi="宋体" w:cs="宋体"/>
                <w:kern w:val="0"/>
                <w:sz w:val="18"/>
                <w:szCs w:val="18"/>
                <w:lang w:bidi="ar"/>
              </w:rPr>
              <w:t>影响工程进度</w:t>
            </w:r>
          </w:p>
        </w:tc>
      </w:tr>
      <w:tr>
        <w:tblPrEx>
          <w:tblCellMar>
            <w:top w:w="0" w:type="dxa"/>
            <w:left w:w="0" w:type="dxa"/>
            <w:bottom w:w="0" w:type="dxa"/>
            <w:right w:w="0" w:type="dxa"/>
          </w:tblCellMar>
        </w:tblPrEx>
        <w:trPr>
          <w:trHeight w:val="78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效益指标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经济效益指标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经济效益指标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≥90.88万元</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187.31万元</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2020年收回历年检测费</w:t>
            </w:r>
          </w:p>
        </w:tc>
      </w:tr>
      <w:tr>
        <w:tblPrEx>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社会效益指标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有效保障全区水利工程安全使用</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有效保障</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有效保障</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r>
      <w:tr>
        <w:tblPrEx>
          <w:tblCellMar>
            <w:top w:w="0" w:type="dxa"/>
            <w:left w:w="0" w:type="dxa"/>
            <w:bottom w:w="0" w:type="dxa"/>
            <w:right w:w="0" w:type="dxa"/>
          </w:tblCellMar>
        </w:tblPrEx>
        <w:trPr>
          <w:trHeight w:val="1016"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生态效益指标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保护水源地环境，减少水源污染，改善水质</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有所改善</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有所改善</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r>
      <w:tr>
        <w:tblPrEx>
          <w:tblCellMar>
            <w:top w:w="0" w:type="dxa"/>
            <w:left w:w="0" w:type="dxa"/>
            <w:bottom w:w="0" w:type="dxa"/>
            <w:right w:w="0" w:type="dxa"/>
          </w:tblCellMar>
        </w:tblPrEx>
        <w:trPr>
          <w:trHeight w:val="62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可持续影响指标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r>
      <w:tr>
        <w:tblPrEx>
          <w:tblCellMar>
            <w:top w:w="0" w:type="dxa"/>
            <w:left w:w="0" w:type="dxa"/>
            <w:bottom w:w="0" w:type="dxa"/>
            <w:right w:w="0" w:type="dxa"/>
          </w:tblCellMar>
        </w:tblPrEx>
        <w:trPr>
          <w:trHeight w:val="9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满意度指标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服务对象满意度指标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服务对象满意度</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≥95%</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100%</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sz w:val="18"/>
                <w:szCs w:val="18"/>
              </w:rPr>
            </w:pPr>
          </w:p>
        </w:tc>
      </w:tr>
    </w:tbl>
    <w:p>
      <w:pPr>
        <w:pStyle w:val="23"/>
        <w:spacing w:after="0" w:line="560" w:lineRule="exact"/>
        <w:ind w:left="0" w:leftChars="0" w:firstLine="0" w:firstLineChars="0"/>
        <w:rPr>
          <w:rFonts w:ascii="仿宋_GB2312" w:hAnsi="仿宋_GB2312" w:eastAsia="仿宋_GB2312" w:cs="仿宋_GB2312"/>
          <w:color w:val="auto"/>
          <w:spacing w:val="17"/>
          <w:sz w:val="32"/>
          <w:szCs w:val="32"/>
        </w:rPr>
      </w:pPr>
    </w:p>
    <w:p>
      <w:pPr>
        <w:pStyle w:val="23"/>
        <w:spacing w:after="0" w:line="560" w:lineRule="exact"/>
        <w:ind w:firstLine="708"/>
        <w:rPr>
          <w:rFonts w:ascii="仿宋_GB2312" w:hAnsi="仿宋_GB2312" w:eastAsia="仿宋_GB2312" w:cs="仿宋_GB2312"/>
          <w:color w:val="auto"/>
          <w:spacing w:val="17"/>
          <w:sz w:val="32"/>
          <w:szCs w:val="32"/>
        </w:rPr>
      </w:pPr>
    </w:p>
    <w:p>
      <w:pPr>
        <w:pStyle w:val="23"/>
        <w:spacing w:after="0" w:line="560" w:lineRule="exact"/>
        <w:ind w:firstLine="708"/>
        <w:rPr>
          <w:rFonts w:ascii="仿宋_GB2312" w:hAnsi="仿宋_GB2312" w:eastAsia="仿宋_GB2312" w:cs="仿宋_GB2312"/>
          <w:color w:val="auto"/>
          <w:spacing w:val="17"/>
          <w:sz w:val="32"/>
          <w:szCs w:val="32"/>
        </w:rPr>
      </w:pPr>
    </w:p>
    <w:p>
      <w:pPr>
        <w:pStyle w:val="23"/>
        <w:spacing w:after="0" w:line="560" w:lineRule="exact"/>
        <w:ind w:firstLine="708"/>
        <w:rPr>
          <w:rFonts w:ascii="仿宋_GB2312" w:hAnsi="仿宋_GB2312" w:eastAsia="仿宋_GB2312" w:cs="仿宋_GB2312"/>
          <w:color w:val="auto"/>
          <w:spacing w:val="17"/>
          <w:sz w:val="32"/>
          <w:szCs w:val="32"/>
        </w:rPr>
      </w:pPr>
    </w:p>
    <w:p>
      <w:pPr>
        <w:pStyle w:val="23"/>
        <w:spacing w:after="0" w:line="560" w:lineRule="exact"/>
        <w:ind w:firstLine="708"/>
        <w:rPr>
          <w:rFonts w:ascii="仿宋_GB2312" w:hAnsi="仿宋_GB2312" w:eastAsia="仿宋_GB2312" w:cs="仿宋_GB2312"/>
          <w:color w:val="auto"/>
          <w:spacing w:val="17"/>
          <w:sz w:val="32"/>
          <w:szCs w:val="32"/>
        </w:rPr>
      </w:pPr>
    </w:p>
    <w:p>
      <w:pPr>
        <w:pStyle w:val="23"/>
        <w:spacing w:after="0" w:line="560" w:lineRule="exact"/>
        <w:ind w:left="0" w:leftChars="0" w:firstLine="0" w:firstLineChars="0"/>
        <w:rPr>
          <w:rFonts w:ascii="仿宋_GB2312" w:hAnsi="仿宋_GB2312" w:eastAsia="仿宋_GB2312" w:cs="仿宋_GB2312"/>
          <w:color w:val="auto"/>
          <w:spacing w:val="17"/>
          <w:sz w:val="32"/>
          <w:szCs w:val="32"/>
        </w:rPr>
      </w:pPr>
    </w:p>
    <w:p>
      <w:pPr>
        <w:spacing w:line="560" w:lineRule="exact"/>
        <w:rPr>
          <w:rFonts w:ascii="黑体" w:hAnsi="黑体" w:eastAsia="黑体"/>
          <w:sz w:val="32"/>
          <w:szCs w:val="32"/>
        </w:rPr>
      </w:pPr>
    </w:p>
    <w:p>
      <w:pPr>
        <w:widowControl/>
        <w:spacing w:line="560" w:lineRule="exact"/>
        <w:textAlignment w:val="center"/>
        <w:rPr>
          <w:rFonts w:ascii="仿宋" w:hAnsi="仿宋" w:eastAsia="仿宋" w:cs="仿宋"/>
          <w:kern w:val="0"/>
          <w:sz w:val="22"/>
          <w:szCs w:val="22"/>
        </w:rPr>
        <w:sectPr>
          <w:footerReference r:id="rId3" w:type="default"/>
          <w:pgSz w:w="11906" w:h="16838"/>
          <w:pgMar w:top="1417" w:right="1417" w:bottom="1417" w:left="1417" w:header="851" w:footer="992" w:gutter="0"/>
          <w:pgNumType w:start="1"/>
          <w:cols w:space="425" w:num="1"/>
          <w:docGrid w:type="lines" w:linePitch="312" w:charSpace="0"/>
        </w:sectPr>
      </w:pPr>
    </w:p>
    <w:p>
      <w:pPr>
        <w:spacing w:line="560" w:lineRule="exact"/>
        <w:rPr>
          <w:rStyle w:val="26"/>
          <w:rFonts w:ascii="仿宋" w:hAnsi="仿宋" w:eastAsia="仿宋"/>
          <w:b w:val="0"/>
          <w:spacing w:val="-4"/>
          <w:sz w:val="32"/>
          <w:szCs w:val="32"/>
        </w:rPr>
      </w:pP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sdt>
                          <w:sdtPr>
                            <w:id w:val="422003363"/>
                          </w:sdtPr>
                          <w:sdtContent>
                            <w:p>
                              <w:pPr>
                                <w:pStyle w:val="16"/>
                                <w:jc w:val="center"/>
                              </w:pPr>
                              <w:r>
                                <w:fldChar w:fldCharType="begin"/>
                              </w:r>
                              <w:r>
                                <w:instrText xml:space="preserve">PAGE   \* MERGEFORMAT</w:instrText>
                              </w:r>
                              <w:r>
                                <w:fldChar w:fldCharType="separate"/>
                              </w:r>
                              <w:r>
                                <w:rPr>
                                  <w:lang w:val="zh-CN"/>
                                </w:rPr>
                                <w:t>19</w:t>
                              </w:r>
                              <w:r>
                                <w:rPr>
                                  <w:lang w:val="zh-CN"/>
                                </w:rPr>
                                <w:fldChar w:fldCharType="end"/>
                              </w:r>
                            </w:p>
                          </w:sdtContent>
                        </w:sdt>
                        <w:p>
                          <w:pPr>
                            <w:pStyle w:val="23"/>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sdt>
                    <w:sdtPr>
                      <w:id w:val="422003363"/>
                    </w:sdtPr>
                    <w:sdtContent>
                      <w:p>
                        <w:pPr>
                          <w:pStyle w:val="16"/>
                          <w:jc w:val="center"/>
                        </w:pPr>
                        <w:r>
                          <w:fldChar w:fldCharType="begin"/>
                        </w:r>
                        <w:r>
                          <w:instrText xml:space="preserve">PAGE   \* MERGEFORMAT</w:instrText>
                        </w:r>
                        <w:r>
                          <w:fldChar w:fldCharType="separate"/>
                        </w:r>
                        <w:r>
                          <w:rPr>
                            <w:lang w:val="zh-CN"/>
                          </w:rPr>
                          <w:t>19</w:t>
                        </w:r>
                        <w:r>
                          <w:rPr>
                            <w:lang w:val="zh-CN"/>
                          </w:rPr>
                          <w:fldChar w:fldCharType="end"/>
                        </w:r>
                      </w:p>
                    </w:sdtContent>
                  </w:sdt>
                  <w:p>
                    <w:pPr>
                      <w:pStyle w:val="23"/>
                    </w:pPr>
                  </w:p>
                </w:txbxContent>
              </v:textbox>
            </v:shape>
          </w:pict>
        </mc:Fallback>
      </mc:AlternateContent>
    </w:r>
  </w:p>
  <w:p>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9379A8"/>
    <w:multiLevelType w:val="singleLevel"/>
    <w:tmpl w:val="FF9379A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223A"/>
    <w:rsid w:val="00056465"/>
    <w:rsid w:val="00086086"/>
    <w:rsid w:val="000A056A"/>
    <w:rsid w:val="000D3B14"/>
    <w:rsid w:val="000E50F0"/>
    <w:rsid w:val="000E586C"/>
    <w:rsid w:val="00121AE4"/>
    <w:rsid w:val="0012676B"/>
    <w:rsid w:val="00137540"/>
    <w:rsid w:val="00146AAD"/>
    <w:rsid w:val="00177D59"/>
    <w:rsid w:val="001B3A40"/>
    <w:rsid w:val="001D31BC"/>
    <w:rsid w:val="001D59DD"/>
    <w:rsid w:val="001E2667"/>
    <w:rsid w:val="001E70BC"/>
    <w:rsid w:val="002926A5"/>
    <w:rsid w:val="00293C35"/>
    <w:rsid w:val="00300475"/>
    <w:rsid w:val="00330786"/>
    <w:rsid w:val="00353326"/>
    <w:rsid w:val="003C18BC"/>
    <w:rsid w:val="003E4EBF"/>
    <w:rsid w:val="00433B5A"/>
    <w:rsid w:val="00433D43"/>
    <w:rsid w:val="004366A8"/>
    <w:rsid w:val="00441A72"/>
    <w:rsid w:val="00464900"/>
    <w:rsid w:val="004F0CCE"/>
    <w:rsid w:val="00502BA7"/>
    <w:rsid w:val="005162F1"/>
    <w:rsid w:val="00525CCB"/>
    <w:rsid w:val="00535153"/>
    <w:rsid w:val="00540B08"/>
    <w:rsid w:val="00554F82"/>
    <w:rsid w:val="0056390D"/>
    <w:rsid w:val="005719B0"/>
    <w:rsid w:val="0058151A"/>
    <w:rsid w:val="005A21A2"/>
    <w:rsid w:val="005A358D"/>
    <w:rsid w:val="005C07F6"/>
    <w:rsid w:val="005D10D6"/>
    <w:rsid w:val="005D190B"/>
    <w:rsid w:val="005E0EAC"/>
    <w:rsid w:val="005E78D0"/>
    <w:rsid w:val="006057B4"/>
    <w:rsid w:val="00607671"/>
    <w:rsid w:val="006251AB"/>
    <w:rsid w:val="00636782"/>
    <w:rsid w:val="006551FB"/>
    <w:rsid w:val="0067423F"/>
    <w:rsid w:val="006919F5"/>
    <w:rsid w:val="00692342"/>
    <w:rsid w:val="00693BD3"/>
    <w:rsid w:val="006A037F"/>
    <w:rsid w:val="006A5F0F"/>
    <w:rsid w:val="006A6E7A"/>
    <w:rsid w:val="006D38AA"/>
    <w:rsid w:val="006E5FE5"/>
    <w:rsid w:val="006E67D0"/>
    <w:rsid w:val="006F4A5A"/>
    <w:rsid w:val="00721751"/>
    <w:rsid w:val="00735472"/>
    <w:rsid w:val="0074246F"/>
    <w:rsid w:val="00756286"/>
    <w:rsid w:val="007806A5"/>
    <w:rsid w:val="00825AD5"/>
    <w:rsid w:val="00834E8C"/>
    <w:rsid w:val="00855E3A"/>
    <w:rsid w:val="00896A86"/>
    <w:rsid w:val="008A395D"/>
    <w:rsid w:val="008F441C"/>
    <w:rsid w:val="00922CB9"/>
    <w:rsid w:val="00926BA5"/>
    <w:rsid w:val="00935A8F"/>
    <w:rsid w:val="0096346B"/>
    <w:rsid w:val="009D155B"/>
    <w:rsid w:val="009E5CD9"/>
    <w:rsid w:val="00A15E03"/>
    <w:rsid w:val="00A26421"/>
    <w:rsid w:val="00A4293B"/>
    <w:rsid w:val="00A43E4E"/>
    <w:rsid w:val="00A56F12"/>
    <w:rsid w:val="00A67D50"/>
    <w:rsid w:val="00A8691A"/>
    <w:rsid w:val="00AA1085"/>
    <w:rsid w:val="00AC1946"/>
    <w:rsid w:val="00AD08A3"/>
    <w:rsid w:val="00AE1EF6"/>
    <w:rsid w:val="00AE4E24"/>
    <w:rsid w:val="00B20C79"/>
    <w:rsid w:val="00B22B7A"/>
    <w:rsid w:val="00B40063"/>
    <w:rsid w:val="00B41F61"/>
    <w:rsid w:val="00BA46E6"/>
    <w:rsid w:val="00BB385C"/>
    <w:rsid w:val="00BC58B4"/>
    <w:rsid w:val="00BD5D57"/>
    <w:rsid w:val="00BE2799"/>
    <w:rsid w:val="00C22068"/>
    <w:rsid w:val="00C2710B"/>
    <w:rsid w:val="00C458AF"/>
    <w:rsid w:val="00C56C72"/>
    <w:rsid w:val="00C86F09"/>
    <w:rsid w:val="00CA6457"/>
    <w:rsid w:val="00CC7DBB"/>
    <w:rsid w:val="00D17F2E"/>
    <w:rsid w:val="00D30354"/>
    <w:rsid w:val="00DA477D"/>
    <w:rsid w:val="00DF42A0"/>
    <w:rsid w:val="00DF55A0"/>
    <w:rsid w:val="00DF7C45"/>
    <w:rsid w:val="00E22763"/>
    <w:rsid w:val="00E31565"/>
    <w:rsid w:val="00E46C51"/>
    <w:rsid w:val="00E769FE"/>
    <w:rsid w:val="00EA2CBE"/>
    <w:rsid w:val="00EA4A79"/>
    <w:rsid w:val="00EF169C"/>
    <w:rsid w:val="00F2780A"/>
    <w:rsid w:val="00F32FEE"/>
    <w:rsid w:val="00F71278"/>
    <w:rsid w:val="00F966CB"/>
    <w:rsid w:val="00FB10BB"/>
    <w:rsid w:val="00FC5457"/>
    <w:rsid w:val="00FE3013"/>
    <w:rsid w:val="01132720"/>
    <w:rsid w:val="0508352D"/>
    <w:rsid w:val="051A56F5"/>
    <w:rsid w:val="062A1147"/>
    <w:rsid w:val="066D6EAA"/>
    <w:rsid w:val="07E30C6E"/>
    <w:rsid w:val="087C038C"/>
    <w:rsid w:val="08C662D4"/>
    <w:rsid w:val="09695B23"/>
    <w:rsid w:val="09BD4D95"/>
    <w:rsid w:val="0CE33C25"/>
    <w:rsid w:val="0F016009"/>
    <w:rsid w:val="0F8D41CB"/>
    <w:rsid w:val="0FAD24CC"/>
    <w:rsid w:val="11C75270"/>
    <w:rsid w:val="12637CC3"/>
    <w:rsid w:val="12E657C5"/>
    <w:rsid w:val="13E93600"/>
    <w:rsid w:val="144D0580"/>
    <w:rsid w:val="167C7687"/>
    <w:rsid w:val="168B3546"/>
    <w:rsid w:val="17234A02"/>
    <w:rsid w:val="18365437"/>
    <w:rsid w:val="1A2374E0"/>
    <w:rsid w:val="1C317CE2"/>
    <w:rsid w:val="1CB26123"/>
    <w:rsid w:val="1DD45808"/>
    <w:rsid w:val="1DED42AC"/>
    <w:rsid w:val="1F4D247F"/>
    <w:rsid w:val="20005763"/>
    <w:rsid w:val="20533F19"/>
    <w:rsid w:val="20FB313D"/>
    <w:rsid w:val="21022BFB"/>
    <w:rsid w:val="220B4804"/>
    <w:rsid w:val="242D5295"/>
    <w:rsid w:val="267D39A1"/>
    <w:rsid w:val="282475E3"/>
    <w:rsid w:val="290609A1"/>
    <w:rsid w:val="2BB77D76"/>
    <w:rsid w:val="2C6100C1"/>
    <w:rsid w:val="300A1C6F"/>
    <w:rsid w:val="30C32331"/>
    <w:rsid w:val="3264220D"/>
    <w:rsid w:val="340A43C4"/>
    <w:rsid w:val="35A13378"/>
    <w:rsid w:val="371F08E9"/>
    <w:rsid w:val="3963178C"/>
    <w:rsid w:val="3E3A3759"/>
    <w:rsid w:val="3E7D5B8C"/>
    <w:rsid w:val="3EE010A9"/>
    <w:rsid w:val="3EE33515"/>
    <w:rsid w:val="419414CF"/>
    <w:rsid w:val="41CC2676"/>
    <w:rsid w:val="438C3FAC"/>
    <w:rsid w:val="46B21672"/>
    <w:rsid w:val="46D66126"/>
    <w:rsid w:val="47703063"/>
    <w:rsid w:val="49A15A71"/>
    <w:rsid w:val="4C02500C"/>
    <w:rsid w:val="4F552460"/>
    <w:rsid w:val="4FCC6863"/>
    <w:rsid w:val="500A214A"/>
    <w:rsid w:val="522D604D"/>
    <w:rsid w:val="5297585E"/>
    <w:rsid w:val="52AD7D6F"/>
    <w:rsid w:val="5549519D"/>
    <w:rsid w:val="5557596B"/>
    <w:rsid w:val="55D34668"/>
    <w:rsid w:val="56E95061"/>
    <w:rsid w:val="5783199C"/>
    <w:rsid w:val="582C29EB"/>
    <w:rsid w:val="59BF0B16"/>
    <w:rsid w:val="59EE52DA"/>
    <w:rsid w:val="5B596DFC"/>
    <w:rsid w:val="5BA37C0F"/>
    <w:rsid w:val="5DF03945"/>
    <w:rsid w:val="5F30402A"/>
    <w:rsid w:val="637C2815"/>
    <w:rsid w:val="67FF61DF"/>
    <w:rsid w:val="699702C5"/>
    <w:rsid w:val="699944C8"/>
    <w:rsid w:val="6F247F07"/>
    <w:rsid w:val="6F5A2676"/>
    <w:rsid w:val="6F82479B"/>
    <w:rsid w:val="71014630"/>
    <w:rsid w:val="72D03A06"/>
    <w:rsid w:val="74B7399D"/>
    <w:rsid w:val="75735B3F"/>
    <w:rsid w:val="791810D1"/>
    <w:rsid w:val="794922C2"/>
    <w:rsid w:val="7A353D0B"/>
    <w:rsid w:val="7A8A53B9"/>
    <w:rsid w:val="7D3A5E2F"/>
    <w:rsid w:val="7D9B7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30"/>
    <w:unhideWhenUsed/>
    <w:qFormat/>
    <w:uiPriority w:val="9"/>
    <w:pPr>
      <w:keepNext/>
      <w:widowControl/>
      <w:spacing w:before="240" w:after="60" w:line="560" w:lineRule="exact"/>
      <w:ind w:firstLine="1041" w:firstLineChars="200"/>
      <w:jc w:val="left"/>
      <w:outlineLvl w:val="1"/>
    </w:pPr>
    <w:rPr>
      <w:rFonts w:eastAsia="黑体" w:asciiTheme="majorHAnsi" w:hAnsiTheme="majorHAnsi"/>
      <w:b/>
      <w:bCs/>
      <w:iCs/>
      <w:kern w:val="0"/>
      <w:sz w:val="32"/>
      <w:szCs w:val="28"/>
    </w:rPr>
  </w:style>
  <w:style w:type="paragraph" w:styleId="5">
    <w:name w:val="heading 3"/>
    <w:basedOn w:val="1"/>
    <w:next w:val="1"/>
    <w:link w:val="31"/>
    <w:unhideWhenUsed/>
    <w:qFormat/>
    <w:uiPriority w:val="9"/>
    <w:pPr>
      <w:keepNext/>
      <w:widowControl/>
      <w:spacing w:before="240" w:after="60" w:line="560" w:lineRule="exact"/>
      <w:ind w:firstLine="1041" w:firstLineChars="200"/>
      <w:jc w:val="left"/>
      <w:outlineLvl w:val="2"/>
    </w:pPr>
    <w:rPr>
      <w:rFonts w:eastAsia="楷体" w:asciiTheme="majorHAnsi" w:hAnsiTheme="majorHAnsi"/>
      <w:b/>
      <w:bCs/>
      <w:kern w:val="0"/>
      <w:sz w:val="32"/>
      <w:szCs w:val="26"/>
    </w:rPr>
  </w:style>
  <w:style w:type="paragraph" w:styleId="6">
    <w:name w:val="heading 4"/>
    <w:basedOn w:val="1"/>
    <w:next w:val="1"/>
    <w:link w:val="32"/>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3"/>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4"/>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5"/>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6"/>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7"/>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5">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8"/>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link w:val="61"/>
    <w:qFormat/>
    <w:uiPriority w:val="0"/>
    <w:pPr>
      <w:jc w:val="left"/>
    </w:pPr>
    <w:rPr>
      <w:rFonts w:ascii="Calibri" w:hAnsi="Calibri" w:cs="Calibri"/>
      <w:color w:val="000000"/>
      <w:kern w:val="0"/>
    </w:rPr>
  </w:style>
  <w:style w:type="paragraph" w:styleId="13">
    <w:name w:val="Body Text"/>
    <w:basedOn w:val="1"/>
    <w:qFormat/>
    <w:uiPriority w:val="0"/>
    <w:pPr>
      <w:spacing w:after="120"/>
    </w:pPr>
  </w:style>
  <w:style w:type="paragraph" w:styleId="14">
    <w:name w:val="Body Text Indent"/>
    <w:basedOn w:val="1"/>
    <w:link w:val="59"/>
    <w:qFormat/>
    <w:uiPriority w:val="0"/>
    <w:pPr>
      <w:spacing w:after="120"/>
      <w:ind w:left="420" w:leftChars="200"/>
    </w:pPr>
  </w:style>
  <w:style w:type="paragraph" w:styleId="15">
    <w:name w:val="Balloon Text"/>
    <w:basedOn w:val="1"/>
    <w:link w:val="54"/>
    <w:semiHidden/>
    <w:unhideWhenUsed/>
    <w:qFormat/>
    <w:uiPriority w:val="99"/>
    <w:rPr>
      <w:sz w:val="18"/>
      <w:szCs w:val="18"/>
    </w:rPr>
  </w:style>
  <w:style w:type="paragraph" w:styleId="16">
    <w:name w:val="footer"/>
    <w:basedOn w:val="1"/>
    <w:link w:val="53"/>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52"/>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9"/>
    <w:qFormat/>
    <w:uiPriority w:val="11"/>
    <w:pPr>
      <w:widowControl/>
      <w:spacing w:after="60"/>
      <w:jc w:val="center"/>
      <w:outlineLvl w:val="1"/>
    </w:pPr>
    <w:rPr>
      <w:rFonts w:asciiTheme="majorHAnsi" w:hAnsiTheme="majorHAnsi" w:eastAsiaTheme="majorEastAsia"/>
      <w:kern w:val="0"/>
      <w:sz w:val="24"/>
    </w:rPr>
  </w:style>
  <w:style w:type="paragraph" w:styleId="19">
    <w:name w:val="footnote text"/>
    <w:basedOn w:val="1"/>
    <w:qFormat/>
    <w:uiPriority w:val="0"/>
    <w:pPr>
      <w:snapToGrid w:val="0"/>
      <w:jc w:val="left"/>
    </w:pPr>
    <w:rPr>
      <w:sz w:val="18"/>
      <w:szCs w:val="18"/>
    </w:rPr>
  </w:style>
  <w:style w:type="paragraph" w:styleId="20">
    <w:name w:val="Normal (Web)"/>
    <w:basedOn w:val="1"/>
    <w:qFormat/>
    <w:uiPriority w:val="99"/>
    <w:pPr>
      <w:spacing w:before="100" w:beforeAutospacing="1" w:after="100" w:afterAutospacing="1"/>
      <w:jc w:val="left"/>
    </w:pPr>
    <w:rPr>
      <w:rFonts w:ascii="Calibri" w:hAnsi="Calibri"/>
      <w:color w:val="000000"/>
      <w:kern w:val="0"/>
      <w:sz w:val="24"/>
    </w:rPr>
  </w:style>
  <w:style w:type="paragraph" w:styleId="21">
    <w:name w:val="annotation subject"/>
    <w:basedOn w:val="12"/>
    <w:next w:val="12"/>
    <w:link w:val="65"/>
    <w:semiHidden/>
    <w:unhideWhenUsed/>
    <w:qFormat/>
    <w:uiPriority w:val="99"/>
    <w:rPr>
      <w:rFonts w:ascii="Times New Roman" w:hAnsi="Times New Roman" w:cs="Times New Roman"/>
      <w:b/>
      <w:bCs/>
      <w:color w:val="auto"/>
      <w:kern w:val="2"/>
    </w:rPr>
  </w:style>
  <w:style w:type="paragraph" w:styleId="22">
    <w:name w:val="Body Text First Indent"/>
    <w:basedOn w:val="13"/>
    <w:qFormat/>
    <w:uiPriority w:val="0"/>
    <w:pPr>
      <w:spacing w:after="0"/>
      <w:ind w:firstLine="200" w:firstLineChars="200"/>
    </w:pPr>
  </w:style>
  <w:style w:type="paragraph" w:styleId="23">
    <w:name w:val="Body Text First Indent 2"/>
    <w:basedOn w:val="14"/>
    <w:link w:val="60"/>
    <w:qFormat/>
    <w:uiPriority w:val="0"/>
    <w:pPr>
      <w:ind w:firstLine="420" w:firstLineChars="200"/>
    </w:pPr>
    <w:rPr>
      <w:rFonts w:ascii="Calibri" w:hAnsi="Calibri" w:cs="Calibri"/>
      <w:color w:val="000000"/>
      <w:kern w:val="0"/>
    </w:rPr>
  </w:style>
  <w:style w:type="character" w:styleId="26">
    <w:name w:val="Strong"/>
    <w:basedOn w:val="25"/>
    <w:qFormat/>
    <w:uiPriority w:val="0"/>
    <w:rPr>
      <w:b/>
      <w:bCs/>
    </w:rPr>
  </w:style>
  <w:style w:type="character" w:styleId="27">
    <w:name w:val="Emphasis"/>
    <w:basedOn w:val="25"/>
    <w:qFormat/>
    <w:uiPriority w:val="20"/>
    <w:rPr>
      <w:rFonts w:asciiTheme="minorHAnsi" w:hAnsiTheme="minorHAnsi"/>
      <w:b/>
      <w:i/>
      <w:iCs/>
    </w:rPr>
  </w:style>
  <w:style w:type="character" w:styleId="28">
    <w:name w:val="annotation reference"/>
    <w:basedOn w:val="25"/>
    <w:semiHidden/>
    <w:unhideWhenUsed/>
    <w:qFormat/>
    <w:uiPriority w:val="99"/>
    <w:rPr>
      <w:sz w:val="21"/>
      <w:szCs w:val="21"/>
    </w:rPr>
  </w:style>
  <w:style w:type="character" w:customStyle="1" w:styleId="29">
    <w:name w:val="标题 1 字符"/>
    <w:basedOn w:val="25"/>
    <w:link w:val="3"/>
    <w:qFormat/>
    <w:uiPriority w:val="9"/>
    <w:rPr>
      <w:rFonts w:asciiTheme="majorHAnsi" w:hAnsiTheme="majorHAnsi" w:eastAsiaTheme="majorEastAsia"/>
      <w:b/>
      <w:bCs/>
      <w:kern w:val="32"/>
      <w:sz w:val="32"/>
      <w:szCs w:val="32"/>
    </w:rPr>
  </w:style>
  <w:style w:type="character" w:customStyle="1" w:styleId="30">
    <w:name w:val="标题 2 字符"/>
    <w:basedOn w:val="25"/>
    <w:link w:val="4"/>
    <w:semiHidden/>
    <w:qFormat/>
    <w:uiPriority w:val="9"/>
    <w:rPr>
      <w:rFonts w:eastAsia="黑体" w:asciiTheme="majorHAnsi" w:hAnsiTheme="majorHAnsi"/>
      <w:b/>
      <w:bCs/>
      <w:iCs/>
      <w:sz w:val="32"/>
      <w:szCs w:val="28"/>
    </w:rPr>
  </w:style>
  <w:style w:type="character" w:customStyle="1" w:styleId="31">
    <w:name w:val="标题 3 字符"/>
    <w:basedOn w:val="25"/>
    <w:link w:val="5"/>
    <w:semiHidden/>
    <w:qFormat/>
    <w:uiPriority w:val="9"/>
    <w:rPr>
      <w:rFonts w:eastAsia="楷体" w:asciiTheme="majorHAnsi" w:hAnsiTheme="majorHAnsi"/>
      <w:b/>
      <w:bCs/>
      <w:sz w:val="32"/>
      <w:szCs w:val="26"/>
    </w:rPr>
  </w:style>
  <w:style w:type="character" w:customStyle="1" w:styleId="32">
    <w:name w:val="标题 4 字符"/>
    <w:basedOn w:val="25"/>
    <w:link w:val="6"/>
    <w:semiHidden/>
    <w:qFormat/>
    <w:uiPriority w:val="9"/>
    <w:rPr>
      <w:b/>
      <w:bCs/>
      <w:sz w:val="28"/>
      <w:szCs w:val="28"/>
    </w:rPr>
  </w:style>
  <w:style w:type="character" w:customStyle="1" w:styleId="33">
    <w:name w:val="标题 5 字符"/>
    <w:basedOn w:val="25"/>
    <w:link w:val="7"/>
    <w:semiHidden/>
    <w:qFormat/>
    <w:uiPriority w:val="9"/>
    <w:rPr>
      <w:b/>
      <w:bCs/>
      <w:i/>
      <w:iCs/>
      <w:sz w:val="26"/>
      <w:szCs w:val="26"/>
    </w:rPr>
  </w:style>
  <w:style w:type="character" w:customStyle="1" w:styleId="34">
    <w:name w:val="标题 6 字符"/>
    <w:basedOn w:val="25"/>
    <w:link w:val="8"/>
    <w:semiHidden/>
    <w:qFormat/>
    <w:uiPriority w:val="9"/>
    <w:rPr>
      <w:b/>
      <w:bCs/>
    </w:rPr>
  </w:style>
  <w:style w:type="character" w:customStyle="1" w:styleId="35">
    <w:name w:val="标题 7 字符"/>
    <w:basedOn w:val="25"/>
    <w:link w:val="9"/>
    <w:semiHidden/>
    <w:qFormat/>
    <w:uiPriority w:val="9"/>
    <w:rPr>
      <w:sz w:val="24"/>
      <w:szCs w:val="24"/>
    </w:rPr>
  </w:style>
  <w:style w:type="character" w:customStyle="1" w:styleId="36">
    <w:name w:val="标题 8 字符"/>
    <w:basedOn w:val="25"/>
    <w:link w:val="10"/>
    <w:semiHidden/>
    <w:qFormat/>
    <w:uiPriority w:val="9"/>
    <w:rPr>
      <w:i/>
      <w:iCs/>
      <w:sz w:val="24"/>
      <w:szCs w:val="24"/>
    </w:rPr>
  </w:style>
  <w:style w:type="character" w:customStyle="1" w:styleId="37">
    <w:name w:val="标题 9 字符"/>
    <w:basedOn w:val="25"/>
    <w:link w:val="11"/>
    <w:semiHidden/>
    <w:qFormat/>
    <w:uiPriority w:val="9"/>
    <w:rPr>
      <w:rFonts w:asciiTheme="majorHAnsi" w:hAnsiTheme="majorHAnsi" w:eastAsiaTheme="majorEastAsia"/>
    </w:rPr>
  </w:style>
  <w:style w:type="character" w:customStyle="1" w:styleId="38">
    <w:name w:val="标题 字符"/>
    <w:basedOn w:val="25"/>
    <w:link w:val="2"/>
    <w:qFormat/>
    <w:uiPriority w:val="10"/>
    <w:rPr>
      <w:rFonts w:asciiTheme="majorHAnsi" w:hAnsiTheme="majorHAnsi" w:eastAsiaTheme="majorEastAsia"/>
      <w:b/>
      <w:bCs/>
      <w:kern w:val="28"/>
      <w:sz w:val="32"/>
      <w:szCs w:val="32"/>
    </w:rPr>
  </w:style>
  <w:style w:type="character" w:customStyle="1" w:styleId="39">
    <w:name w:val="副标题 字符"/>
    <w:basedOn w:val="25"/>
    <w:link w:val="18"/>
    <w:qFormat/>
    <w:uiPriority w:val="11"/>
    <w:rPr>
      <w:rFonts w:asciiTheme="majorHAnsi" w:hAnsiTheme="majorHAnsi" w:eastAsiaTheme="majorEastAsia"/>
      <w:sz w:val="24"/>
      <w:szCs w:val="24"/>
    </w:rPr>
  </w:style>
  <w:style w:type="paragraph" w:styleId="40">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41">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42">
    <w:name w:val="Quote"/>
    <w:basedOn w:val="1"/>
    <w:next w:val="1"/>
    <w:link w:val="43"/>
    <w:qFormat/>
    <w:uiPriority w:val="29"/>
    <w:pPr>
      <w:widowControl/>
      <w:jc w:val="left"/>
    </w:pPr>
    <w:rPr>
      <w:rFonts w:asciiTheme="minorHAnsi" w:hAnsiTheme="minorHAnsi" w:eastAsiaTheme="minorEastAsia"/>
      <w:i/>
      <w:kern w:val="0"/>
      <w:sz w:val="24"/>
    </w:rPr>
  </w:style>
  <w:style w:type="character" w:customStyle="1" w:styleId="43">
    <w:name w:val="引用 字符"/>
    <w:basedOn w:val="25"/>
    <w:link w:val="42"/>
    <w:qFormat/>
    <w:uiPriority w:val="29"/>
    <w:rPr>
      <w:i/>
      <w:sz w:val="24"/>
      <w:szCs w:val="24"/>
    </w:rPr>
  </w:style>
  <w:style w:type="paragraph" w:styleId="44">
    <w:name w:val="Intense Quote"/>
    <w:basedOn w:val="1"/>
    <w:next w:val="1"/>
    <w:link w:val="45"/>
    <w:qFormat/>
    <w:uiPriority w:val="30"/>
    <w:pPr>
      <w:widowControl/>
      <w:ind w:left="720" w:right="720"/>
      <w:jc w:val="left"/>
    </w:pPr>
    <w:rPr>
      <w:rFonts w:asciiTheme="minorHAnsi" w:hAnsiTheme="minorHAnsi" w:eastAsiaTheme="minorEastAsia"/>
      <w:b/>
      <w:i/>
      <w:kern w:val="0"/>
      <w:sz w:val="24"/>
      <w:szCs w:val="22"/>
    </w:rPr>
  </w:style>
  <w:style w:type="character" w:customStyle="1" w:styleId="45">
    <w:name w:val="明显引用 字符"/>
    <w:basedOn w:val="25"/>
    <w:link w:val="44"/>
    <w:qFormat/>
    <w:uiPriority w:val="30"/>
    <w:rPr>
      <w:b/>
      <w:i/>
      <w:sz w:val="24"/>
    </w:rPr>
  </w:style>
  <w:style w:type="character" w:customStyle="1" w:styleId="46">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7">
    <w:name w:val="明显强调1"/>
    <w:basedOn w:val="25"/>
    <w:qFormat/>
    <w:uiPriority w:val="21"/>
    <w:rPr>
      <w:b/>
      <w:i/>
      <w:sz w:val="24"/>
      <w:szCs w:val="24"/>
      <w:u w:val="single"/>
    </w:rPr>
  </w:style>
  <w:style w:type="character" w:customStyle="1" w:styleId="48">
    <w:name w:val="不明显参考1"/>
    <w:basedOn w:val="25"/>
    <w:qFormat/>
    <w:uiPriority w:val="31"/>
    <w:rPr>
      <w:sz w:val="24"/>
      <w:szCs w:val="24"/>
      <w:u w:val="single"/>
    </w:rPr>
  </w:style>
  <w:style w:type="character" w:customStyle="1" w:styleId="49">
    <w:name w:val="明显参考1"/>
    <w:basedOn w:val="25"/>
    <w:qFormat/>
    <w:uiPriority w:val="32"/>
    <w:rPr>
      <w:b/>
      <w:sz w:val="24"/>
      <w:u w:val="single"/>
    </w:rPr>
  </w:style>
  <w:style w:type="character" w:customStyle="1" w:styleId="50">
    <w:name w:val="书籍标题1"/>
    <w:basedOn w:val="25"/>
    <w:qFormat/>
    <w:uiPriority w:val="33"/>
    <w:rPr>
      <w:rFonts w:asciiTheme="majorHAnsi" w:hAnsiTheme="majorHAnsi" w:eastAsiaTheme="majorEastAsia"/>
      <w:b/>
      <w:i/>
      <w:sz w:val="24"/>
      <w:szCs w:val="24"/>
    </w:rPr>
  </w:style>
  <w:style w:type="paragraph" w:customStyle="1" w:styleId="51">
    <w:name w:val="TOC 标题1"/>
    <w:basedOn w:val="3"/>
    <w:next w:val="1"/>
    <w:semiHidden/>
    <w:unhideWhenUsed/>
    <w:qFormat/>
    <w:uiPriority w:val="39"/>
    <w:pPr>
      <w:outlineLvl w:val="9"/>
    </w:pPr>
    <w:rPr>
      <w:lang w:eastAsia="en-US" w:bidi="en-US"/>
    </w:rPr>
  </w:style>
  <w:style w:type="character" w:customStyle="1" w:styleId="52">
    <w:name w:val="页眉 字符"/>
    <w:basedOn w:val="25"/>
    <w:link w:val="17"/>
    <w:qFormat/>
    <w:uiPriority w:val="99"/>
    <w:rPr>
      <w:rFonts w:ascii="Calibri" w:hAnsi="Calibri" w:eastAsia="宋体"/>
      <w:kern w:val="2"/>
      <w:sz w:val="18"/>
      <w:szCs w:val="18"/>
    </w:rPr>
  </w:style>
  <w:style w:type="character" w:customStyle="1" w:styleId="53">
    <w:name w:val="页脚 字符"/>
    <w:basedOn w:val="25"/>
    <w:link w:val="16"/>
    <w:qFormat/>
    <w:uiPriority w:val="99"/>
    <w:rPr>
      <w:rFonts w:ascii="Calibri" w:hAnsi="Calibri" w:eastAsia="宋体"/>
      <w:kern w:val="2"/>
      <w:sz w:val="18"/>
      <w:szCs w:val="18"/>
    </w:rPr>
  </w:style>
  <w:style w:type="character" w:customStyle="1" w:styleId="54">
    <w:name w:val="批注框文本 字符"/>
    <w:basedOn w:val="25"/>
    <w:link w:val="15"/>
    <w:semiHidden/>
    <w:qFormat/>
    <w:uiPriority w:val="99"/>
    <w:rPr>
      <w:rFonts w:ascii="Times New Roman" w:hAnsi="Times New Roman" w:eastAsia="宋体"/>
      <w:kern w:val="2"/>
      <w:sz w:val="18"/>
      <w:szCs w:val="18"/>
    </w:rPr>
  </w:style>
  <w:style w:type="paragraph" w:customStyle="1" w:styleId="55">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6">
    <w:name w:val="fontstyle01"/>
    <w:qFormat/>
    <w:uiPriority w:val="0"/>
    <w:rPr>
      <w:rFonts w:ascii="仿宋_GB2312" w:hAnsi="仿宋_GB2312" w:eastAsia="仿宋_GB2312" w:cs="仿宋_GB2312"/>
      <w:color w:val="000000"/>
      <w:sz w:val="32"/>
      <w:szCs w:val="32"/>
    </w:rPr>
  </w:style>
  <w:style w:type="paragraph" w:customStyle="1" w:styleId="57">
    <w:name w:val="闻政-正文段落文字"/>
    <w:basedOn w:val="1"/>
    <w:link w:val="58"/>
    <w:qFormat/>
    <w:uiPriority w:val="3"/>
    <w:pPr>
      <w:spacing w:line="500" w:lineRule="exact"/>
      <w:ind w:firstLine="200" w:firstLineChars="200"/>
    </w:pPr>
    <w:rPr>
      <w:rFonts w:eastAsia="仿宋_GB2312"/>
      <w:kern w:val="0"/>
      <w:sz w:val="28"/>
      <w:szCs w:val="28"/>
    </w:rPr>
  </w:style>
  <w:style w:type="character" w:customStyle="1" w:styleId="58">
    <w:name w:val="闻政-正文段落文字 Char"/>
    <w:link w:val="57"/>
    <w:qFormat/>
    <w:uiPriority w:val="3"/>
    <w:rPr>
      <w:rFonts w:eastAsia="仿宋_GB2312"/>
      <w:sz w:val="28"/>
      <w:szCs w:val="28"/>
    </w:rPr>
  </w:style>
  <w:style w:type="character" w:customStyle="1" w:styleId="59">
    <w:name w:val="正文文本缩进 字符"/>
    <w:basedOn w:val="25"/>
    <w:link w:val="14"/>
    <w:qFormat/>
    <w:uiPriority w:val="0"/>
    <w:rPr>
      <w:kern w:val="2"/>
      <w:sz w:val="21"/>
      <w:szCs w:val="24"/>
    </w:rPr>
  </w:style>
  <w:style w:type="character" w:customStyle="1" w:styleId="60">
    <w:name w:val="正文文本首行缩进 2 字符"/>
    <w:basedOn w:val="59"/>
    <w:link w:val="23"/>
    <w:qFormat/>
    <w:uiPriority w:val="0"/>
    <w:rPr>
      <w:rFonts w:ascii="Calibri" w:hAnsi="Calibri" w:cs="Calibri"/>
      <w:color w:val="000000"/>
      <w:kern w:val="2"/>
      <w:sz w:val="21"/>
      <w:szCs w:val="24"/>
    </w:rPr>
  </w:style>
  <w:style w:type="character" w:customStyle="1" w:styleId="61">
    <w:name w:val="批注文字 字符"/>
    <w:basedOn w:val="25"/>
    <w:link w:val="12"/>
    <w:qFormat/>
    <w:uiPriority w:val="0"/>
    <w:rPr>
      <w:rFonts w:ascii="Calibri" w:hAnsi="Calibri" w:cs="Calibri"/>
      <w:color w:val="000000"/>
      <w:sz w:val="21"/>
      <w:szCs w:val="24"/>
    </w:rPr>
  </w:style>
  <w:style w:type="paragraph" w:customStyle="1" w:styleId="62">
    <w:name w:val="WPSOffice手动目录 1"/>
    <w:qFormat/>
    <w:uiPriority w:val="0"/>
    <w:rPr>
      <w:rFonts w:asciiTheme="minorHAnsi" w:hAnsiTheme="minorHAnsi" w:eastAsiaTheme="minorEastAsia" w:cstheme="minorBidi"/>
      <w:lang w:val="en-US" w:eastAsia="zh-CN" w:bidi="ar-SA"/>
    </w:rPr>
  </w:style>
  <w:style w:type="paragraph" w:customStyle="1" w:styleId="63">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64">
    <w:name w:val="WPSOffice手动目录 3"/>
    <w:qFormat/>
    <w:uiPriority w:val="0"/>
    <w:pPr>
      <w:ind w:left="400" w:leftChars="400"/>
    </w:pPr>
    <w:rPr>
      <w:rFonts w:asciiTheme="minorHAnsi" w:hAnsiTheme="minorHAnsi" w:eastAsiaTheme="minorEastAsia" w:cstheme="minorBidi"/>
      <w:lang w:val="en-US" w:eastAsia="zh-CN" w:bidi="ar-SA"/>
    </w:rPr>
  </w:style>
  <w:style w:type="character" w:customStyle="1" w:styleId="65">
    <w:name w:val="批注主题 字符"/>
    <w:basedOn w:val="61"/>
    <w:link w:val="21"/>
    <w:semiHidden/>
    <w:qFormat/>
    <w:uiPriority w:val="99"/>
    <w:rPr>
      <w:rFonts w:ascii="Times New Roman" w:hAnsi="Times New Roman" w:eastAsia="宋体" w:cs="Times New Roman"/>
      <w:b/>
      <w:bCs/>
      <w:color w:val="000000"/>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30B47C-BE02-47AD-9115-04611BF45228}">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1800</Words>
  <Characters>10261</Characters>
  <Lines>85</Lines>
  <Paragraphs>24</Paragraphs>
  <TotalTime>29</TotalTime>
  <ScaleCrop>false</ScaleCrop>
  <LinksUpToDate>false</LinksUpToDate>
  <CharactersWithSpaces>12037</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2021-04-08T05:25:00Z</dcterms:created>
  <dc:creator>赵 恺（预算处）</dc:creator>
  <cp:lastModifiedBy>Administrator</cp:lastModifiedBy>
  <cp:lastPrinted>2021-06-08T04:28:00Z</cp:lastPrinted>
  <dcterms:modified xsi:type="dcterms:W3CDTF">2025-09-03T13:24:14Z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D21DE4F154F84050B1C4818E8CC82593</vt:lpwstr>
  </property>
</Properties>
</file>